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 w:val="0"/>
          <w:color w:val="333333"/>
          <w:sz w:val="48"/>
          <w:szCs w:val="4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48"/>
          <w:szCs w:val="48"/>
          <w:shd w:val="clear" w:fill="FFFFFF"/>
          <w:lang w:val="en-US" w:eastAsia="zh-CN"/>
        </w:rPr>
        <w:t>2020年市国资委出资企业国有资本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 w:val="0"/>
          <w:color w:val="333333"/>
          <w:sz w:val="48"/>
          <w:szCs w:val="4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color w:val="333333"/>
          <w:sz w:val="48"/>
          <w:szCs w:val="48"/>
          <w:shd w:val="clear" w:fill="FFFFFF"/>
          <w:lang w:val="en-US" w:eastAsia="zh-CN"/>
        </w:rPr>
        <w:t>经营预算</w:t>
      </w:r>
      <w:r>
        <w:rPr>
          <w:rFonts w:hint="eastAsia" w:ascii="微软雅黑" w:hAnsi="微软雅黑" w:eastAsia="微软雅黑" w:cs="微软雅黑"/>
          <w:b w:val="0"/>
          <w:color w:val="333333"/>
          <w:sz w:val="48"/>
          <w:szCs w:val="48"/>
          <w:shd w:val="clear" w:fill="FFFFFF"/>
          <w:lang w:eastAsia="zh-CN"/>
        </w:rPr>
        <w:t>编制说明</w:t>
      </w:r>
    </w:p>
    <w:p>
      <w:pPr>
        <w:ind w:firstLine="620" w:firstLineChars="200"/>
      </w:pP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</w:rPr>
        <w:t>依据《市人民政府关于试行国有资本经营预算的实施意见》(武政﹝2012﹞21号)和《武汉市市属企业国有资本收益收支管理办法》(武财企﹝2012﹞531号)、《市财政局关于编报20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</w:rPr>
        <w:t>年市级企业国有资本经营预算建议草案的通知》（武财企﹝201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</w:rPr>
        <w:t>﹞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  <w:lang w:val="en-US" w:eastAsia="zh-CN"/>
        </w:rPr>
        <w:t>698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</w:rPr>
        <w:t>号），根据国家、省和全市产业发展规划、国有经济布局和结构调整、国有企业发展等要求安排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  <w:lang w:eastAsia="zh-CN"/>
        </w:rPr>
        <w:t>了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</w:rPr>
        <w:t>资本性支出，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  <w:lang w:eastAsia="zh-CN"/>
        </w:rPr>
        <w:t>根据政府会议纪要或相关领导批示精神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</w:rPr>
        <w:t>用于弥补国有企业改革成本等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  <w:lang w:eastAsia="zh-CN"/>
        </w:rPr>
        <w:t>要求安排了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</w:rPr>
        <w:t>费用性支出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</w:rPr>
        <w:t>通过国有资本经营预算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  <w:lang w:eastAsia="zh-CN"/>
        </w:rPr>
        <w:t>的引擎和带动作用，以期达到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</w:rPr>
        <w:t>稳定城建、托底民生，支持企业发展，培育财源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  <w:lang w:eastAsia="zh-CN"/>
        </w:rPr>
        <w:t>的目的</w:t>
      </w:r>
      <w:r>
        <w:rPr>
          <w:rFonts w:hint="eastAsia" w:ascii="微软雅黑" w:hAnsi="微软雅黑" w:eastAsia="微软雅黑" w:cs="微软雅黑"/>
          <w:b w:val="0"/>
          <w:color w:val="333333"/>
          <w:sz w:val="31"/>
          <w:szCs w:val="31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63BC5"/>
    <w:rsid w:val="2AC20A1E"/>
    <w:rsid w:val="40D6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2020-08-21T09:01:00Z</dcterms:created>
  <dc:creator>闲水云</dc:creator>
  <cp:lastModifiedBy>闲水云</cp:lastModifiedBy>
  <dcterms:modified xsi:type="dcterms:W3CDTF">2020-08-21T09:04:58Z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