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475" w:type="dxa"/>
        <w:tblInd w:w="-284" w:type="dxa"/>
        <w:tblLayout w:type="fixed"/>
        <w:tblCellMar>
          <w:top w:w="0" w:type="dxa"/>
          <w:left w:w="108" w:type="dxa"/>
          <w:bottom w:w="0" w:type="dxa"/>
          <w:right w:w="108" w:type="dxa"/>
        </w:tblCellMar>
      </w:tblPr>
      <w:tblGrid>
        <w:gridCol w:w="709"/>
        <w:gridCol w:w="1267"/>
        <w:gridCol w:w="1282"/>
        <w:gridCol w:w="1281"/>
        <w:gridCol w:w="424"/>
        <w:gridCol w:w="1277"/>
        <w:gridCol w:w="2270"/>
        <w:gridCol w:w="965"/>
      </w:tblGrid>
      <w:tr>
        <w:tblPrEx>
          <w:tblCellMar>
            <w:top w:w="0" w:type="dxa"/>
            <w:left w:w="108" w:type="dxa"/>
            <w:bottom w:w="0" w:type="dxa"/>
            <w:right w:w="108" w:type="dxa"/>
          </w:tblCellMar>
        </w:tblPrEx>
        <w:trPr>
          <w:trHeight w:val="324" w:hRule="atLeast"/>
        </w:trPr>
        <w:tc>
          <w:tcPr>
            <w:tcW w:w="1976" w:type="dxa"/>
            <w:gridSpan w:val="2"/>
            <w:shd w:val="clear" w:color="auto" w:fill="auto"/>
            <w:vAlign w:val="center"/>
          </w:tcPr>
          <w:p>
            <w:pPr>
              <w:widowControl/>
              <w:jc w:val="left"/>
              <w:rPr>
                <w:rFonts w:ascii="仿宋_GB2312" w:hAnsi="宋体" w:eastAsia="仿宋_GB2312" w:cs="宋体"/>
                <w:kern w:val="0"/>
                <w:sz w:val="24"/>
                <w:szCs w:val="24"/>
              </w:rPr>
            </w:pPr>
          </w:p>
        </w:tc>
        <w:tc>
          <w:tcPr>
            <w:tcW w:w="1282" w:type="dxa"/>
            <w:shd w:val="clear" w:color="auto" w:fill="auto"/>
            <w:vAlign w:val="center"/>
          </w:tcPr>
          <w:p>
            <w:pPr>
              <w:rPr>
                <w:rFonts w:ascii="Calibri" w:hAnsi="Calibri" w:cs="Calibri"/>
                <w:sz w:val="24"/>
                <w:szCs w:val="24"/>
              </w:rPr>
            </w:pPr>
          </w:p>
        </w:tc>
        <w:tc>
          <w:tcPr>
            <w:tcW w:w="1705" w:type="dxa"/>
            <w:gridSpan w:val="2"/>
            <w:shd w:val="clear" w:color="auto" w:fill="auto"/>
            <w:vAlign w:val="center"/>
          </w:tcPr>
          <w:p>
            <w:pPr>
              <w:rPr>
                <w:rFonts w:ascii="Calibri" w:hAnsi="Calibri" w:cs="Calibri"/>
                <w:sz w:val="24"/>
                <w:szCs w:val="24"/>
              </w:rPr>
            </w:pPr>
          </w:p>
        </w:tc>
        <w:tc>
          <w:tcPr>
            <w:tcW w:w="1277" w:type="dxa"/>
            <w:shd w:val="clear" w:color="auto" w:fill="auto"/>
            <w:vAlign w:val="center"/>
          </w:tcPr>
          <w:p>
            <w:pPr>
              <w:rPr>
                <w:rFonts w:ascii="Calibri" w:hAnsi="Calibri" w:cs="Calibri"/>
                <w:sz w:val="24"/>
                <w:szCs w:val="24"/>
              </w:rPr>
            </w:pPr>
          </w:p>
        </w:tc>
        <w:tc>
          <w:tcPr>
            <w:tcW w:w="2270" w:type="dxa"/>
            <w:shd w:val="clear" w:color="auto" w:fill="auto"/>
            <w:vAlign w:val="center"/>
          </w:tcPr>
          <w:p>
            <w:pPr>
              <w:rPr>
                <w:rFonts w:ascii="Calibri" w:hAnsi="Calibri" w:cs="Calibri"/>
                <w:sz w:val="24"/>
                <w:szCs w:val="24"/>
              </w:rPr>
            </w:pPr>
          </w:p>
        </w:tc>
        <w:tc>
          <w:tcPr>
            <w:tcW w:w="965" w:type="dxa"/>
            <w:shd w:val="clear" w:color="auto" w:fill="auto"/>
            <w:vAlign w:val="center"/>
          </w:tcPr>
          <w:p>
            <w:pPr>
              <w:rPr>
                <w:rFonts w:ascii="Calibri" w:hAnsi="Calibri" w:cs="Calibri"/>
                <w:sz w:val="24"/>
                <w:szCs w:val="24"/>
              </w:rPr>
            </w:pPr>
          </w:p>
        </w:tc>
      </w:tr>
      <w:tr>
        <w:tblPrEx>
          <w:tblCellMar>
            <w:top w:w="0" w:type="dxa"/>
            <w:left w:w="108" w:type="dxa"/>
            <w:bottom w:w="0" w:type="dxa"/>
            <w:right w:w="108" w:type="dxa"/>
          </w:tblCellMar>
        </w:tblPrEx>
        <w:trPr>
          <w:trHeight w:val="464" w:hRule="atLeast"/>
        </w:trPr>
        <w:tc>
          <w:tcPr>
            <w:tcW w:w="9475" w:type="dxa"/>
            <w:gridSpan w:val="8"/>
            <w:shd w:val="clear" w:color="auto" w:fill="auto"/>
            <w:vAlign w:val="center"/>
          </w:tcPr>
          <w:p>
            <w:pPr>
              <w:widowControl/>
              <w:jc w:val="center"/>
              <w:rPr>
                <w:rFonts w:ascii="黑体" w:hAnsi="宋体" w:eastAsia="黑体" w:cs="宋体"/>
                <w:bCs/>
                <w:kern w:val="0"/>
                <w:sz w:val="40"/>
                <w:szCs w:val="40"/>
              </w:rPr>
            </w:pPr>
            <w:r>
              <w:rPr>
                <w:rFonts w:hint="eastAsia" w:ascii="黑体" w:hAnsi="宋体" w:eastAsia="黑体" w:cs="宋体"/>
                <w:bCs/>
                <w:kern w:val="0"/>
                <w:sz w:val="40"/>
                <w:szCs w:val="40"/>
              </w:rPr>
              <w:t>财政支出项目绩效目标表</w:t>
            </w:r>
          </w:p>
        </w:tc>
      </w:tr>
      <w:tr>
        <w:tblPrEx>
          <w:tblCellMar>
            <w:top w:w="0" w:type="dxa"/>
            <w:left w:w="108" w:type="dxa"/>
            <w:bottom w:w="0" w:type="dxa"/>
            <w:right w:w="108" w:type="dxa"/>
          </w:tblCellMar>
        </w:tblPrEx>
        <w:trPr>
          <w:trHeight w:val="229" w:hRule="atLeast"/>
        </w:trPr>
        <w:tc>
          <w:tcPr>
            <w:tcW w:w="709" w:type="dxa"/>
            <w:shd w:val="clear" w:color="auto" w:fill="auto"/>
            <w:vAlign w:val="center"/>
          </w:tcPr>
          <w:p>
            <w:pPr>
              <w:rPr>
                <w:rFonts w:ascii="Calibri" w:hAnsi="Calibri" w:cs="Calibri"/>
                <w:szCs w:val="22"/>
              </w:rPr>
            </w:pPr>
          </w:p>
        </w:tc>
        <w:tc>
          <w:tcPr>
            <w:tcW w:w="1267" w:type="dxa"/>
            <w:tcBorders>
              <w:top w:val="nil"/>
              <w:left w:val="nil"/>
              <w:bottom w:val="single" w:color="auto" w:sz="4" w:space="0"/>
              <w:right w:val="nil"/>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82" w:type="dxa"/>
            <w:tcBorders>
              <w:top w:val="nil"/>
              <w:left w:val="nil"/>
              <w:bottom w:val="single" w:color="auto" w:sz="4" w:space="0"/>
              <w:right w:val="nil"/>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705" w:type="dxa"/>
            <w:gridSpan w:val="2"/>
            <w:tcBorders>
              <w:top w:val="nil"/>
              <w:left w:val="nil"/>
              <w:bottom w:val="single" w:color="auto" w:sz="4" w:space="0"/>
              <w:right w:val="nil"/>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77" w:type="dxa"/>
            <w:tcBorders>
              <w:top w:val="nil"/>
              <w:left w:val="nil"/>
              <w:bottom w:val="single" w:color="auto" w:sz="4" w:space="0"/>
              <w:right w:val="nil"/>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270" w:type="dxa"/>
            <w:tcBorders>
              <w:top w:val="nil"/>
              <w:left w:val="nil"/>
              <w:bottom w:val="single" w:color="auto" w:sz="4" w:space="0"/>
              <w:right w:val="nil"/>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资金单位：万元</w:t>
            </w:r>
          </w:p>
        </w:tc>
        <w:tc>
          <w:tcPr>
            <w:tcW w:w="965" w:type="dxa"/>
            <w:tcBorders>
              <w:top w:val="nil"/>
              <w:left w:val="nil"/>
              <w:bottom w:val="single" w:color="auto" w:sz="4" w:space="0"/>
              <w:right w:val="nil"/>
            </w:tcBorders>
            <w:shd w:val="clear" w:color="auto" w:fill="auto"/>
            <w:vAlign w:val="center"/>
          </w:tcPr>
          <w:p>
            <w:pPr>
              <w:rPr>
                <w:rFonts w:ascii="Calibri" w:hAnsi="Calibri" w:cs="Calibri"/>
                <w:szCs w:val="22"/>
              </w:rPr>
            </w:pPr>
          </w:p>
        </w:tc>
      </w:tr>
      <w:tr>
        <w:tblPrEx>
          <w:tblCellMar>
            <w:top w:w="0" w:type="dxa"/>
            <w:left w:w="108" w:type="dxa"/>
            <w:bottom w:w="0" w:type="dxa"/>
            <w:right w:w="108" w:type="dxa"/>
          </w:tblCellMar>
        </w:tblPrEx>
        <w:trPr>
          <w:trHeight w:val="350" w:hRule="atLeast"/>
        </w:trPr>
        <w:tc>
          <w:tcPr>
            <w:tcW w:w="19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项目名称</w:t>
            </w:r>
          </w:p>
        </w:tc>
        <w:tc>
          <w:tcPr>
            <w:tcW w:w="256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市国资委</w:t>
            </w:r>
            <w:r>
              <w:rPr>
                <w:rFonts w:hint="eastAsia" w:ascii="仿宋_GB2312" w:hAnsi="宋体" w:eastAsia="仿宋_GB2312" w:cs="宋体"/>
                <w:kern w:val="0"/>
                <w:sz w:val="24"/>
                <w:lang w:val="en-US" w:eastAsia="zh-CN"/>
              </w:rPr>
              <w:t>2020年国有资本经营</w:t>
            </w:r>
            <w:r>
              <w:rPr>
                <w:rFonts w:hint="eastAsia" w:ascii="仿宋_GB2312" w:hAnsi="宋体" w:eastAsia="仿宋_GB2312" w:cs="宋体"/>
                <w:kern w:val="0"/>
                <w:sz w:val="24"/>
              </w:rPr>
              <w:t>预算支出</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项目执行单位</w:t>
            </w:r>
          </w:p>
        </w:tc>
        <w:tc>
          <w:tcPr>
            <w:tcW w:w="323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市国资委</w:t>
            </w:r>
          </w:p>
        </w:tc>
      </w:tr>
      <w:tr>
        <w:tblPrEx>
          <w:tblCellMar>
            <w:top w:w="0" w:type="dxa"/>
            <w:left w:w="108" w:type="dxa"/>
            <w:bottom w:w="0" w:type="dxa"/>
            <w:right w:w="108" w:type="dxa"/>
          </w:tblCellMar>
        </w:tblPrEx>
        <w:trPr>
          <w:trHeight w:val="328" w:hRule="atLeast"/>
        </w:trPr>
        <w:tc>
          <w:tcPr>
            <w:tcW w:w="197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项目主管部门</w:t>
            </w:r>
          </w:p>
        </w:tc>
        <w:tc>
          <w:tcPr>
            <w:tcW w:w="256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市国资委</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项目负责人</w:t>
            </w:r>
          </w:p>
        </w:tc>
        <w:tc>
          <w:tcPr>
            <w:tcW w:w="323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陈祖信</w:t>
            </w:r>
          </w:p>
        </w:tc>
      </w:tr>
      <w:tr>
        <w:tblPrEx>
          <w:tblCellMar>
            <w:top w:w="0" w:type="dxa"/>
            <w:left w:w="108" w:type="dxa"/>
            <w:bottom w:w="0" w:type="dxa"/>
            <w:right w:w="108" w:type="dxa"/>
          </w:tblCellMar>
        </w:tblPrEx>
        <w:trPr>
          <w:trHeight w:val="943" w:hRule="atLeast"/>
        </w:trPr>
        <w:tc>
          <w:tcPr>
            <w:tcW w:w="197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项目申请理由</w:t>
            </w:r>
          </w:p>
        </w:tc>
        <w:tc>
          <w:tcPr>
            <w:tcW w:w="7499" w:type="dxa"/>
            <w:gridSpan w:val="6"/>
            <w:tcBorders>
              <w:top w:val="single" w:color="auto" w:sz="4" w:space="0"/>
              <w:left w:val="nil"/>
              <w:bottom w:val="single" w:color="auto" w:sz="4" w:space="0"/>
              <w:right w:val="single" w:color="000000" w:sz="4" w:space="0"/>
            </w:tcBorders>
            <w:shd w:val="clear" w:color="auto" w:fill="auto"/>
            <w:vAlign w:val="center"/>
          </w:tcPr>
          <w:p>
            <w:pPr>
              <w:widowControl/>
              <w:ind w:firstLine="480" w:firstLineChars="200"/>
              <w:jc w:val="left"/>
              <w:rPr>
                <w:rFonts w:ascii="仿宋_GB2312" w:hAnsi="宋体" w:eastAsia="仿宋_GB2312" w:cs="宋体"/>
                <w:kern w:val="0"/>
                <w:sz w:val="24"/>
              </w:rPr>
            </w:pPr>
            <w:bookmarkStart w:id="0" w:name="_GoBack"/>
            <w:r>
              <w:rPr>
                <w:rFonts w:hint="eastAsia" w:ascii="仿宋_GB2312" w:hAnsi="宋体" w:eastAsia="仿宋_GB2312" w:cs="宋体"/>
                <w:kern w:val="0"/>
                <w:sz w:val="24"/>
              </w:rPr>
              <w:t>依据《市人民政府关于试行国有资本经营预算的实施意见》(武政﹝2012﹞21号)和《武汉市市属企业国有资本收益收支管理办法》(武财企﹝2012﹞531号)、《市财政局关于编报20</w:t>
            </w:r>
            <w:r>
              <w:rPr>
                <w:rFonts w:hint="eastAsia" w:ascii="仿宋_GB2312" w:hAnsi="宋体" w:eastAsia="仿宋_GB2312" w:cs="宋体"/>
                <w:kern w:val="0"/>
                <w:sz w:val="24"/>
                <w:lang w:val="en-US" w:eastAsia="zh-CN"/>
              </w:rPr>
              <w:t>20</w:t>
            </w:r>
            <w:r>
              <w:rPr>
                <w:rFonts w:hint="eastAsia" w:ascii="仿宋_GB2312" w:hAnsi="宋体" w:eastAsia="仿宋_GB2312" w:cs="宋体"/>
                <w:kern w:val="0"/>
                <w:sz w:val="24"/>
              </w:rPr>
              <w:t>年市级企业国有资本经营预算建议草案的通知》（武财企﹝201</w:t>
            </w:r>
            <w:r>
              <w:rPr>
                <w:rFonts w:hint="eastAsia" w:ascii="仿宋_GB2312" w:hAnsi="宋体" w:eastAsia="仿宋_GB2312" w:cs="宋体"/>
                <w:kern w:val="0"/>
                <w:sz w:val="24"/>
                <w:lang w:val="en-US" w:eastAsia="zh-CN"/>
              </w:rPr>
              <w:t>9</w:t>
            </w:r>
            <w:r>
              <w:rPr>
                <w:rFonts w:hint="eastAsia" w:ascii="仿宋_GB2312" w:hAnsi="宋体" w:eastAsia="仿宋_GB2312" w:cs="宋体"/>
                <w:kern w:val="0"/>
                <w:sz w:val="24"/>
              </w:rPr>
              <w:t>﹞</w:t>
            </w:r>
            <w:r>
              <w:rPr>
                <w:rFonts w:hint="eastAsia" w:ascii="仿宋_GB2312" w:hAnsi="宋体" w:eastAsia="仿宋_GB2312" w:cs="宋体"/>
                <w:kern w:val="0"/>
                <w:sz w:val="24"/>
                <w:lang w:val="en-US" w:eastAsia="zh-CN"/>
              </w:rPr>
              <w:t>698</w:t>
            </w:r>
            <w:r>
              <w:rPr>
                <w:rFonts w:hint="eastAsia" w:ascii="仿宋_GB2312" w:hAnsi="宋体" w:eastAsia="仿宋_GB2312" w:cs="宋体"/>
                <w:kern w:val="0"/>
                <w:sz w:val="24"/>
              </w:rPr>
              <w:t>号），根据国家、省和全市产业发展规划、国有经济布局和结构调整、国有企业发展等要求安排</w:t>
            </w:r>
            <w:r>
              <w:rPr>
                <w:rFonts w:hint="eastAsia" w:ascii="仿宋_GB2312" w:hAnsi="宋体" w:eastAsia="仿宋_GB2312" w:cs="宋体"/>
                <w:kern w:val="0"/>
                <w:sz w:val="24"/>
                <w:lang w:eastAsia="zh-CN"/>
              </w:rPr>
              <w:t>了</w:t>
            </w:r>
            <w:r>
              <w:rPr>
                <w:rFonts w:hint="eastAsia" w:ascii="仿宋_GB2312" w:hAnsi="宋体" w:eastAsia="仿宋_GB2312" w:cs="宋体"/>
                <w:kern w:val="0"/>
                <w:sz w:val="24"/>
              </w:rPr>
              <w:t>资本性支出，</w:t>
            </w:r>
            <w:r>
              <w:rPr>
                <w:rFonts w:hint="eastAsia" w:ascii="仿宋_GB2312" w:hAnsi="宋体" w:eastAsia="仿宋_GB2312" w:cs="宋体"/>
                <w:kern w:val="0"/>
                <w:sz w:val="24"/>
                <w:lang w:eastAsia="zh-CN"/>
              </w:rPr>
              <w:t>根据政府会议纪要或相关领导批示精神</w:t>
            </w:r>
            <w:r>
              <w:rPr>
                <w:rFonts w:hint="eastAsia" w:ascii="仿宋_GB2312" w:hAnsi="宋体" w:eastAsia="仿宋_GB2312" w:cs="宋体"/>
                <w:kern w:val="0"/>
                <w:sz w:val="24"/>
              </w:rPr>
              <w:t>用于弥补国有企业改革成本等</w:t>
            </w:r>
            <w:r>
              <w:rPr>
                <w:rFonts w:hint="eastAsia" w:ascii="仿宋_GB2312" w:hAnsi="宋体" w:eastAsia="仿宋_GB2312" w:cs="宋体"/>
                <w:kern w:val="0"/>
                <w:sz w:val="24"/>
                <w:lang w:eastAsia="zh-CN"/>
              </w:rPr>
              <w:t>要求安排了</w:t>
            </w:r>
            <w:r>
              <w:rPr>
                <w:rFonts w:hint="eastAsia" w:ascii="仿宋_GB2312" w:hAnsi="宋体" w:eastAsia="仿宋_GB2312" w:cs="宋体"/>
                <w:kern w:val="0"/>
                <w:sz w:val="24"/>
              </w:rPr>
              <w:t>费用性支出</w:t>
            </w:r>
            <w:r>
              <w:rPr>
                <w:rFonts w:hint="eastAsia" w:ascii="仿宋_GB2312" w:hAnsi="宋体" w:eastAsia="仿宋_GB2312" w:cs="宋体"/>
                <w:kern w:val="0"/>
                <w:sz w:val="24"/>
                <w:lang w:eastAsia="zh-CN"/>
              </w:rPr>
              <w:t>。</w:t>
            </w:r>
            <w:r>
              <w:rPr>
                <w:rFonts w:hint="eastAsia" w:ascii="仿宋_GB2312" w:hAnsi="宋体" w:eastAsia="仿宋_GB2312" w:cs="宋体"/>
                <w:kern w:val="0"/>
                <w:sz w:val="24"/>
              </w:rPr>
              <w:t>通过国有资本经营预算</w:t>
            </w:r>
            <w:r>
              <w:rPr>
                <w:rFonts w:hint="eastAsia" w:ascii="仿宋_GB2312" w:hAnsi="宋体" w:eastAsia="仿宋_GB2312" w:cs="宋体"/>
                <w:kern w:val="0"/>
                <w:sz w:val="24"/>
                <w:lang w:eastAsia="zh-CN"/>
              </w:rPr>
              <w:t>的引擎和带动作用，以期达到</w:t>
            </w:r>
            <w:r>
              <w:rPr>
                <w:rFonts w:hint="eastAsia" w:ascii="仿宋_GB2312" w:hAnsi="宋体" w:eastAsia="仿宋_GB2312" w:cs="宋体"/>
                <w:kern w:val="0"/>
                <w:sz w:val="24"/>
              </w:rPr>
              <w:t>稳定城建、托底民生，支持企业发展，培育财源</w:t>
            </w:r>
            <w:r>
              <w:rPr>
                <w:rFonts w:hint="eastAsia" w:ascii="仿宋_GB2312" w:hAnsi="宋体" w:eastAsia="仿宋_GB2312" w:cs="宋体"/>
                <w:kern w:val="0"/>
                <w:sz w:val="24"/>
                <w:lang w:eastAsia="zh-CN"/>
              </w:rPr>
              <w:t>的目的</w:t>
            </w:r>
            <w:r>
              <w:rPr>
                <w:rFonts w:hint="eastAsia" w:ascii="仿宋_GB2312" w:hAnsi="宋体" w:eastAsia="仿宋_GB2312" w:cs="宋体"/>
                <w:kern w:val="0"/>
                <w:sz w:val="24"/>
              </w:rPr>
              <w:t>。</w:t>
            </w:r>
            <w:bookmarkEnd w:id="0"/>
          </w:p>
        </w:tc>
      </w:tr>
      <w:tr>
        <w:tblPrEx>
          <w:tblCellMar>
            <w:top w:w="0" w:type="dxa"/>
            <w:left w:w="108" w:type="dxa"/>
            <w:bottom w:w="0" w:type="dxa"/>
            <w:right w:w="108" w:type="dxa"/>
          </w:tblCellMar>
        </w:tblPrEx>
        <w:trPr>
          <w:trHeight w:val="706" w:hRule="atLeast"/>
        </w:trPr>
        <w:tc>
          <w:tcPr>
            <w:tcW w:w="197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项目主要内容</w:t>
            </w:r>
          </w:p>
        </w:tc>
        <w:tc>
          <w:tcPr>
            <w:tcW w:w="7499" w:type="dxa"/>
            <w:gridSpan w:val="6"/>
            <w:tcBorders>
              <w:top w:val="single" w:color="auto" w:sz="4" w:space="0"/>
              <w:left w:val="nil"/>
              <w:bottom w:val="single" w:color="auto" w:sz="4" w:space="0"/>
              <w:right w:val="single" w:color="000000" w:sz="4" w:space="0"/>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lang w:val="en-US" w:eastAsia="zh-CN"/>
              </w:rPr>
              <w:t>2020年国有资本经营</w:t>
            </w:r>
            <w:r>
              <w:rPr>
                <w:rFonts w:hint="eastAsia" w:ascii="仿宋_GB2312" w:hAnsi="宋体" w:eastAsia="仿宋_GB2312" w:cs="宋体"/>
                <w:kern w:val="0"/>
                <w:sz w:val="24"/>
              </w:rPr>
              <w:t>预算支出主要用于</w:t>
            </w:r>
            <w:r>
              <w:rPr>
                <w:rFonts w:hint="eastAsia" w:ascii="仿宋_GB2312" w:hAnsi="宋体" w:eastAsia="仿宋_GB2312" w:cs="宋体"/>
                <w:kern w:val="0"/>
                <w:sz w:val="24"/>
                <w:lang w:eastAsia="zh-CN"/>
              </w:rPr>
              <w:t>划转一般公共预算（占当年预算收入的</w:t>
            </w:r>
            <w:r>
              <w:rPr>
                <w:rFonts w:hint="eastAsia" w:ascii="仿宋_GB2312" w:hAnsi="宋体" w:eastAsia="仿宋_GB2312" w:cs="宋体"/>
                <w:kern w:val="0"/>
                <w:sz w:val="24"/>
                <w:lang w:val="en-US" w:eastAsia="zh-CN"/>
              </w:rPr>
              <w:t>30%</w:t>
            </w:r>
            <w:r>
              <w:rPr>
                <w:rFonts w:hint="eastAsia" w:ascii="仿宋_GB2312" w:hAnsi="宋体" w:eastAsia="仿宋_GB2312" w:cs="宋体"/>
                <w:kern w:val="0"/>
                <w:sz w:val="24"/>
                <w:lang w:eastAsia="zh-CN"/>
              </w:rPr>
              <w:t>）</w:t>
            </w:r>
            <w:r>
              <w:rPr>
                <w:rFonts w:hint="eastAsia" w:ascii="仿宋_GB2312" w:hAnsi="宋体" w:eastAsia="仿宋_GB2312" w:cs="宋体"/>
                <w:kern w:val="0"/>
                <w:sz w:val="24"/>
              </w:rPr>
              <w:t>、国有企业退休人员社会化管理补助、解决历史遗留问题及改革成本、国有经济结构调整、国有企业资本金注入、国有企业政策性补贴、其他</w:t>
            </w:r>
            <w:r>
              <w:rPr>
                <w:rFonts w:hint="eastAsia" w:ascii="仿宋_GB2312" w:hAnsi="宋体" w:eastAsia="仿宋_GB2312" w:cs="宋体"/>
                <w:kern w:val="0"/>
                <w:sz w:val="24"/>
                <w:lang w:eastAsia="zh-CN"/>
              </w:rPr>
              <w:t>费用性</w:t>
            </w:r>
            <w:r>
              <w:rPr>
                <w:rFonts w:hint="eastAsia" w:ascii="仿宋_GB2312" w:hAnsi="宋体" w:eastAsia="仿宋_GB2312" w:cs="宋体"/>
                <w:kern w:val="0"/>
                <w:sz w:val="24"/>
              </w:rPr>
              <w:t>支出等。</w:t>
            </w:r>
          </w:p>
        </w:tc>
      </w:tr>
      <w:tr>
        <w:tblPrEx>
          <w:tblCellMar>
            <w:top w:w="0" w:type="dxa"/>
            <w:left w:w="108" w:type="dxa"/>
            <w:bottom w:w="0" w:type="dxa"/>
            <w:right w:w="108" w:type="dxa"/>
          </w:tblCellMar>
        </w:tblPrEx>
        <w:trPr>
          <w:trHeight w:val="409" w:hRule="atLeast"/>
        </w:trPr>
        <w:tc>
          <w:tcPr>
            <w:tcW w:w="197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项目总预算</w:t>
            </w:r>
          </w:p>
        </w:tc>
        <w:tc>
          <w:tcPr>
            <w:tcW w:w="256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40944</w:t>
            </w:r>
          </w:p>
        </w:tc>
        <w:tc>
          <w:tcPr>
            <w:tcW w:w="1701" w:type="dxa"/>
            <w:gridSpan w:val="2"/>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项目当年预算</w:t>
            </w:r>
          </w:p>
        </w:tc>
        <w:tc>
          <w:tcPr>
            <w:tcW w:w="32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kern w:val="0"/>
                <w:sz w:val="24"/>
                <w:lang w:val="en-US"/>
              </w:rPr>
            </w:pPr>
            <w:r>
              <w:rPr>
                <w:rFonts w:hint="eastAsia" w:ascii="仿宋_GB2312" w:hAnsi="宋体" w:eastAsia="仿宋_GB2312" w:cs="宋体"/>
                <w:kern w:val="0"/>
                <w:sz w:val="24"/>
                <w:lang w:val="en-US" w:eastAsia="zh-CN"/>
              </w:rPr>
              <w:t>40944</w:t>
            </w:r>
          </w:p>
        </w:tc>
      </w:tr>
      <w:tr>
        <w:tblPrEx>
          <w:tblCellMar>
            <w:top w:w="0" w:type="dxa"/>
            <w:left w:w="108" w:type="dxa"/>
            <w:bottom w:w="0" w:type="dxa"/>
            <w:right w:w="108" w:type="dxa"/>
          </w:tblCellMar>
        </w:tblPrEx>
        <w:trPr>
          <w:trHeight w:val="409" w:hRule="atLeast"/>
        </w:trPr>
        <w:tc>
          <w:tcPr>
            <w:tcW w:w="709" w:type="dxa"/>
            <w:vMerge w:val="restart"/>
            <w:tcBorders>
              <w:top w:val="nil"/>
              <w:left w:val="single" w:color="auto" w:sz="4" w:space="0"/>
              <w:bottom w:val="single" w:color="000000" w:sz="4" w:space="0"/>
              <w:right w:val="single" w:color="auto" w:sz="4" w:space="0"/>
            </w:tcBorders>
            <w:shd w:val="clear" w:color="auto" w:fill="auto"/>
            <w:textDirection w:val="tbRlV"/>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项目支出及测算依据</w:t>
            </w:r>
          </w:p>
        </w:tc>
        <w:tc>
          <w:tcPr>
            <w:tcW w:w="1267" w:type="dxa"/>
            <w:vMerge w:val="restart"/>
            <w:tcBorders>
              <w:top w:val="nil"/>
              <w:left w:val="single" w:color="auto" w:sz="4" w:space="0"/>
              <w:bottom w:val="nil"/>
              <w:right w:val="single" w:color="auto" w:sz="4" w:space="0"/>
            </w:tcBorders>
            <w:shd w:val="clear" w:color="auto" w:fill="auto"/>
            <w:textDirection w:val="tbRlV"/>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项目支出明细</w:t>
            </w:r>
          </w:p>
        </w:tc>
        <w:tc>
          <w:tcPr>
            <w:tcW w:w="4264"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项目支出明细</w:t>
            </w:r>
          </w:p>
        </w:tc>
        <w:tc>
          <w:tcPr>
            <w:tcW w:w="323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金额</w:t>
            </w:r>
          </w:p>
        </w:tc>
      </w:tr>
      <w:tr>
        <w:tblPrEx>
          <w:tblCellMar>
            <w:top w:w="0" w:type="dxa"/>
            <w:left w:w="108" w:type="dxa"/>
            <w:bottom w:w="0" w:type="dxa"/>
            <w:right w:w="108" w:type="dxa"/>
          </w:tblCellMar>
        </w:tblPrEx>
        <w:trPr>
          <w:trHeight w:val="409" w:hRule="atLeast"/>
        </w:trPr>
        <w:tc>
          <w:tcPr>
            <w:tcW w:w="709" w:type="dxa"/>
            <w:vMerge w:val="continue"/>
            <w:tcBorders>
              <w:top w:val="nil"/>
              <w:left w:val="single" w:color="auto" w:sz="4" w:space="0"/>
              <w:bottom w:val="single" w:color="000000" w:sz="4" w:space="0"/>
              <w:right w:val="single" w:color="auto" w:sz="4" w:space="0"/>
            </w:tcBorders>
            <w:shd w:val="clear" w:color="auto" w:fill="auto"/>
            <w:textDirection w:val="tbRlV"/>
            <w:vAlign w:val="center"/>
          </w:tcPr>
          <w:p>
            <w:pPr>
              <w:rPr>
                <w:rFonts w:ascii="Calibri" w:hAnsi="Calibri" w:cs="Calibri"/>
                <w:szCs w:val="22"/>
              </w:rPr>
            </w:pPr>
          </w:p>
        </w:tc>
        <w:tc>
          <w:tcPr>
            <w:tcW w:w="1267" w:type="dxa"/>
            <w:vMerge w:val="continue"/>
            <w:tcBorders>
              <w:top w:val="nil"/>
              <w:left w:val="single" w:color="auto" w:sz="4" w:space="0"/>
              <w:bottom w:val="nil"/>
              <w:right w:val="single" w:color="auto" w:sz="4" w:space="0"/>
            </w:tcBorders>
            <w:shd w:val="clear" w:color="auto" w:fill="auto"/>
            <w:textDirection w:val="tbRlV"/>
            <w:vAlign w:val="center"/>
          </w:tcPr>
          <w:p>
            <w:pPr>
              <w:rPr>
                <w:rFonts w:ascii="Calibri" w:hAnsi="Calibri" w:cs="Calibri"/>
                <w:szCs w:val="22"/>
              </w:rPr>
            </w:pPr>
          </w:p>
        </w:tc>
        <w:tc>
          <w:tcPr>
            <w:tcW w:w="4264"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合计</w:t>
            </w:r>
          </w:p>
        </w:tc>
        <w:tc>
          <w:tcPr>
            <w:tcW w:w="323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kern w:val="0"/>
                <w:sz w:val="24"/>
                <w:lang w:val="en-US"/>
              </w:rPr>
            </w:pPr>
            <w:r>
              <w:rPr>
                <w:rFonts w:hint="eastAsia" w:ascii="仿宋_GB2312" w:hAnsi="宋体" w:eastAsia="仿宋_GB2312" w:cs="宋体"/>
                <w:kern w:val="0"/>
                <w:sz w:val="24"/>
                <w:lang w:val="en-US" w:eastAsia="zh-CN"/>
              </w:rPr>
              <w:t>40944</w:t>
            </w:r>
          </w:p>
        </w:tc>
      </w:tr>
      <w:tr>
        <w:tblPrEx>
          <w:tblCellMar>
            <w:top w:w="0" w:type="dxa"/>
            <w:left w:w="108" w:type="dxa"/>
            <w:bottom w:w="0" w:type="dxa"/>
            <w:right w:w="108" w:type="dxa"/>
          </w:tblCellMar>
        </w:tblPrEx>
        <w:trPr>
          <w:trHeight w:val="409" w:hRule="atLeast"/>
        </w:trPr>
        <w:tc>
          <w:tcPr>
            <w:tcW w:w="709" w:type="dxa"/>
            <w:vMerge w:val="continue"/>
            <w:tcBorders>
              <w:top w:val="nil"/>
              <w:left w:val="single" w:color="auto" w:sz="4" w:space="0"/>
              <w:bottom w:val="single" w:color="000000" w:sz="4" w:space="0"/>
              <w:right w:val="single" w:color="auto" w:sz="4" w:space="0"/>
            </w:tcBorders>
            <w:shd w:val="clear" w:color="auto" w:fill="auto"/>
            <w:textDirection w:val="tbRlV"/>
            <w:vAlign w:val="center"/>
          </w:tcPr>
          <w:p>
            <w:pPr>
              <w:rPr>
                <w:rFonts w:ascii="Calibri" w:hAnsi="Calibri" w:cs="Calibri"/>
                <w:szCs w:val="22"/>
              </w:rPr>
            </w:pPr>
          </w:p>
        </w:tc>
        <w:tc>
          <w:tcPr>
            <w:tcW w:w="1267" w:type="dxa"/>
            <w:vMerge w:val="continue"/>
            <w:tcBorders>
              <w:top w:val="nil"/>
              <w:left w:val="single" w:color="auto" w:sz="4" w:space="0"/>
              <w:bottom w:val="nil"/>
              <w:right w:val="single" w:color="auto" w:sz="4" w:space="0"/>
            </w:tcBorders>
            <w:shd w:val="clear" w:color="auto" w:fill="auto"/>
            <w:textDirection w:val="tbRlV"/>
            <w:vAlign w:val="center"/>
          </w:tcPr>
          <w:p>
            <w:pPr>
              <w:rPr>
                <w:rFonts w:ascii="Calibri" w:hAnsi="Calibri" w:cs="Calibri"/>
                <w:szCs w:val="22"/>
              </w:rPr>
            </w:pPr>
          </w:p>
        </w:tc>
        <w:tc>
          <w:tcPr>
            <w:tcW w:w="4264"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1.</w:t>
            </w:r>
            <w:r>
              <w:rPr>
                <w:rFonts w:hint="eastAsia"/>
              </w:rPr>
              <w:t xml:space="preserve"> </w:t>
            </w:r>
            <w:r>
              <w:rPr>
                <w:rFonts w:hint="eastAsia" w:ascii="仿宋_GB2312" w:hAnsi="宋体" w:eastAsia="仿宋_GB2312" w:cs="宋体"/>
                <w:kern w:val="0"/>
                <w:sz w:val="24"/>
                <w:lang w:eastAsia="zh-CN"/>
              </w:rPr>
              <w:t>解决历史遗留问题及改造成本支出</w:t>
            </w:r>
          </w:p>
        </w:tc>
        <w:tc>
          <w:tcPr>
            <w:tcW w:w="3235"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10242.6</w:t>
            </w:r>
          </w:p>
        </w:tc>
      </w:tr>
      <w:tr>
        <w:tblPrEx>
          <w:tblCellMar>
            <w:top w:w="0" w:type="dxa"/>
            <w:left w:w="108" w:type="dxa"/>
            <w:bottom w:w="0" w:type="dxa"/>
            <w:right w:w="108" w:type="dxa"/>
          </w:tblCellMar>
        </w:tblPrEx>
        <w:trPr>
          <w:trHeight w:val="409" w:hRule="atLeast"/>
        </w:trPr>
        <w:tc>
          <w:tcPr>
            <w:tcW w:w="709" w:type="dxa"/>
            <w:vMerge w:val="continue"/>
            <w:tcBorders>
              <w:top w:val="nil"/>
              <w:left w:val="single" w:color="auto" w:sz="4" w:space="0"/>
              <w:bottom w:val="single" w:color="000000" w:sz="4" w:space="0"/>
              <w:right w:val="single" w:color="auto" w:sz="4" w:space="0"/>
            </w:tcBorders>
            <w:shd w:val="clear" w:color="auto" w:fill="auto"/>
            <w:textDirection w:val="tbRlV"/>
            <w:vAlign w:val="center"/>
          </w:tcPr>
          <w:p>
            <w:pPr>
              <w:rPr>
                <w:rFonts w:ascii="Calibri" w:hAnsi="Calibri" w:cs="Calibri"/>
                <w:szCs w:val="22"/>
              </w:rPr>
            </w:pPr>
          </w:p>
        </w:tc>
        <w:tc>
          <w:tcPr>
            <w:tcW w:w="1267" w:type="dxa"/>
            <w:vMerge w:val="continue"/>
            <w:tcBorders>
              <w:top w:val="nil"/>
              <w:left w:val="single" w:color="auto" w:sz="4" w:space="0"/>
              <w:bottom w:val="nil"/>
              <w:right w:val="single" w:color="auto" w:sz="4" w:space="0"/>
            </w:tcBorders>
            <w:shd w:val="clear" w:color="auto" w:fill="auto"/>
            <w:textDirection w:val="tbRlV"/>
            <w:vAlign w:val="center"/>
          </w:tcPr>
          <w:p>
            <w:pPr>
              <w:rPr>
                <w:rFonts w:ascii="Calibri" w:hAnsi="Calibri" w:cs="Calibri"/>
                <w:szCs w:val="22"/>
              </w:rPr>
            </w:pPr>
          </w:p>
        </w:tc>
        <w:tc>
          <w:tcPr>
            <w:tcW w:w="4264"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lang w:eastAsia="zh-CN"/>
              </w:rPr>
              <w:t>（</w:t>
            </w:r>
            <w:r>
              <w:rPr>
                <w:rFonts w:hint="eastAsia" w:ascii="仿宋_GB2312" w:hAnsi="宋体" w:eastAsia="仿宋_GB2312" w:cs="宋体"/>
                <w:kern w:val="0"/>
                <w:sz w:val="24"/>
                <w:lang w:val="en-US" w:eastAsia="zh-CN"/>
              </w:rPr>
              <w:t>1</w:t>
            </w:r>
            <w:r>
              <w:rPr>
                <w:rFonts w:hint="eastAsia" w:ascii="仿宋_GB2312" w:hAnsi="宋体" w:eastAsia="仿宋_GB2312" w:cs="宋体"/>
                <w:kern w:val="0"/>
                <w:sz w:val="24"/>
                <w:lang w:eastAsia="zh-CN"/>
              </w:rPr>
              <w:t>）三供一业移交</w:t>
            </w:r>
            <w:r>
              <w:rPr>
                <w:rFonts w:hint="eastAsia" w:ascii="仿宋_GB2312" w:hAnsi="宋体" w:eastAsia="仿宋_GB2312" w:cs="宋体"/>
                <w:kern w:val="0"/>
                <w:sz w:val="24"/>
              </w:rPr>
              <w:t>补助支出</w:t>
            </w:r>
          </w:p>
        </w:tc>
        <w:tc>
          <w:tcPr>
            <w:tcW w:w="3235"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4192.64</w:t>
            </w:r>
          </w:p>
        </w:tc>
      </w:tr>
      <w:tr>
        <w:tblPrEx>
          <w:tblCellMar>
            <w:top w:w="0" w:type="dxa"/>
            <w:left w:w="108" w:type="dxa"/>
            <w:bottom w:w="0" w:type="dxa"/>
            <w:right w:w="108" w:type="dxa"/>
          </w:tblCellMar>
        </w:tblPrEx>
        <w:trPr>
          <w:trHeight w:val="70" w:hRule="atLeast"/>
        </w:trPr>
        <w:tc>
          <w:tcPr>
            <w:tcW w:w="709" w:type="dxa"/>
            <w:vMerge w:val="continue"/>
            <w:tcBorders>
              <w:top w:val="nil"/>
              <w:left w:val="single" w:color="auto" w:sz="4" w:space="0"/>
              <w:bottom w:val="single" w:color="000000" w:sz="4" w:space="0"/>
              <w:right w:val="single" w:color="auto" w:sz="4" w:space="0"/>
            </w:tcBorders>
            <w:shd w:val="clear" w:color="auto" w:fill="auto"/>
            <w:textDirection w:val="tbRlV"/>
            <w:vAlign w:val="center"/>
          </w:tcPr>
          <w:p>
            <w:pPr>
              <w:rPr>
                <w:rFonts w:ascii="Calibri" w:hAnsi="Calibri" w:cs="Calibri"/>
                <w:szCs w:val="22"/>
              </w:rPr>
            </w:pPr>
          </w:p>
        </w:tc>
        <w:tc>
          <w:tcPr>
            <w:tcW w:w="1267" w:type="dxa"/>
            <w:vMerge w:val="continue"/>
            <w:tcBorders>
              <w:top w:val="nil"/>
              <w:left w:val="single" w:color="auto" w:sz="4" w:space="0"/>
              <w:bottom w:val="nil"/>
              <w:right w:val="single" w:color="auto" w:sz="4" w:space="0"/>
            </w:tcBorders>
            <w:shd w:val="clear" w:color="auto" w:fill="auto"/>
            <w:textDirection w:val="tbRlV"/>
            <w:vAlign w:val="center"/>
          </w:tcPr>
          <w:p>
            <w:pPr>
              <w:rPr>
                <w:rFonts w:ascii="Calibri" w:hAnsi="Calibri" w:cs="Calibri"/>
                <w:szCs w:val="22"/>
              </w:rPr>
            </w:pPr>
          </w:p>
        </w:tc>
        <w:tc>
          <w:tcPr>
            <w:tcW w:w="4264"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仿宋_GB2312" w:hAnsi="宋体" w:eastAsia="仿宋_GB2312" w:cs="宋体"/>
                <w:kern w:val="0"/>
                <w:sz w:val="24"/>
                <w:lang w:eastAsia="zh-CN"/>
              </w:rPr>
            </w:pPr>
            <w:r>
              <w:rPr>
                <w:rFonts w:hint="eastAsia" w:ascii="仿宋_GB2312" w:hAnsi="宋体" w:eastAsia="仿宋_GB2312" w:cs="宋体"/>
                <w:kern w:val="0"/>
                <w:sz w:val="24"/>
                <w:lang w:eastAsia="zh-CN"/>
              </w:rPr>
              <w:t>（</w:t>
            </w:r>
            <w:r>
              <w:rPr>
                <w:rFonts w:hint="eastAsia" w:ascii="仿宋_GB2312" w:hAnsi="宋体" w:eastAsia="仿宋_GB2312" w:cs="宋体"/>
                <w:kern w:val="0"/>
                <w:sz w:val="24"/>
                <w:lang w:val="en-US" w:eastAsia="zh-CN"/>
              </w:rPr>
              <w:t>2</w:t>
            </w:r>
            <w:r>
              <w:rPr>
                <w:rFonts w:hint="eastAsia" w:ascii="仿宋_GB2312" w:hAnsi="宋体" w:eastAsia="仿宋_GB2312" w:cs="宋体"/>
                <w:kern w:val="0"/>
                <w:sz w:val="24"/>
                <w:lang w:eastAsia="zh-CN"/>
              </w:rPr>
              <w:t>）</w:t>
            </w:r>
            <w:r>
              <w:rPr>
                <w:rFonts w:hint="eastAsia" w:ascii="仿宋_GB2312" w:hAnsi="宋体" w:eastAsia="仿宋_GB2312" w:cs="宋体"/>
                <w:kern w:val="0"/>
                <w:sz w:val="24"/>
              </w:rPr>
              <w:t>原县(团)级企业厂级退休人员困难补助</w:t>
            </w:r>
          </w:p>
        </w:tc>
        <w:tc>
          <w:tcPr>
            <w:tcW w:w="3235"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2688</w:t>
            </w:r>
          </w:p>
        </w:tc>
      </w:tr>
      <w:tr>
        <w:tblPrEx>
          <w:tblCellMar>
            <w:top w:w="0" w:type="dxa"/>
            <w:left w:w="108" w:type="dxa"/>
            <w:bottom w:w="0" w:type="dxa"/>
            <w:right w:w="108" w:type="dxa"/>
          </w:tblCellMar>
        </w:tblPrEx>
        <w:trPr>
          <w:trHeight w:val="70" w:hRule="atLeast"/>
        </w:trPr>
        <w:tc>
          <w:tcPr>
            <w:tcW w:w="709" w:type="dxa"/>
            <w:vMerge w:val="continue"/>
            <w:tcBorders>
              <w:top w:val="nil"/>
              <w:left w:val="single" w:color="auto" w:sz="4" w:space="0"/>
              <w:bottom w:val="single" w:color="000000" w:sz="4" w:space="0"/>
              <w:right w:val="single" w:color="auto" w:sz="4" w:space="0"/>
            </w:tcBorders>
            <w:shd w:val="clear" w:color="auto" w:fill="auto"/>
            <w:textDirection w:val="tbRlV"/>
            <w:vAlign w:val="center"/>
          </w:tcPr>
          <w:p>
            <w:pPr>
              <w:rPr>
                <w:rFonts w:ascii="Calibri" w:hAnsi="Calibri" w:cs="Calibri"/>
                <w:szCs w:val="22"/>
              </w:rPr>
            </w:pPr>
          </w:p>
        </w:tc>
        <w:tc>
          <w:tcPr>
            <w:tcW w:w="1267" w:type="dxa"/>
            <w:tcBorders>
              <w:top w:val="nil"/>
              <w:left w:val="single" w:color="auto" w:sz="4" w:space="0"/>
              <w:bottom w:val="nil"/>
              <w:right w:val="single" w:color="auto" w:sz="4" w:space="0"/>
            </w:tcBorders>
            <w:shd w:val="clear" w:color="auto" w:fill="auto"/>
            <w:textDirection w:val="tbRlV"/>
            <w:vAlign w:val="center"/>
          </w:tcPr>
          <w:p>
            <w:pPr>
              <w:rPr>
                <w:rFonts w:ascii="Calibri" w:hAnsi="Calibri" w:cs="Calibri"/>
                <w:szCs w:val="22"/>
              </w:rPr>
            </w:pPr>
          </w:p>
        </w:tc>
        <w:tc>
          <w:tcPr>
            <w:tcW w:w="4264"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lang w:eastAsia="zh-CN"/>
              </w:rPr>
              <w:t>（</w:t>
            </w:r>
            <w:r>
              <w:rPr>
                <w:rFonts w:hint="eastAsia" w:ascii="仿宋_GB2312" w:hAnsi="宋体" w:eastAsia="仿宋_GB2312" w:cs="宋体"/>
                <w:kern w:val="0"/>
                <w:sz w:val="24"/>
                <w:lang w:val="en-US" w:eastAsia="zh-CN"/>
              </w:rPr>
              <w:t>3</w:t>
            </w:r>
            <w:r>
              <w:rPr>
                <w:rFonts w:hint="eastAsia" w:ascii="仿宋_GB2312" w:hAnsi="宋体" w:eastAsia="仿宋_GB2312" w:cs="宋体"/>
                <w:kern w:val="0"/>
                <w:sz w:val="24"/>
                <w:lang w:eastAsia="zh-CN"/>
              </w:rPr>
              <w:t>）改制历史遗留问题</w:t>
            </w:r>
          </w:p>
        </w:tc>
        <w:tc>
          <w:tcPr>
            <w:tcW w:w="3235"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2789.6</w:t>
            </w:r>
          </w:p>
        </w:tc>
      </w:tr>
      <w:tr>
        <w:tblPrEx>
          <w:tblCellMar>
            <w:top w:w="0" w:type="dxa"/>
            <w:left w:w="108" w:type="dxa"/>
            <w:bottom w:w="0" w:type="dxa"/>
            <w:right w:w="108" w:type="dxa"/>
          </w:tblCellMar>
        </w:tblPrEx>
        <w:trPr>
          <w:trHeight w:val="70" w:hRule="atLeast"/>
        </w:trPr>
        <w:tc>
          <w:tcPr>
            <w:tcW w:w="709" w:type="dxa"/>
            <w:vMerge w:val="continue"/>
            <w:tcBorders>
              <w:top w:val="nil"/>
              <w:left w:val="single" w:color="auto" w:sz="4" w:space="0"/>
              <w:bottom w:val="single" w:color="000000" w:sz="4" w:space="0"/>
              <w:right w:val="single" w:color="auto" w:sz="4" w:space="0"/>
            </w:tcBorders>
            <w:shd w:val="clear" w:color="auto" w:fill="auto"/>
            <w:textDirection w:val="tbRlV"/>
            <w:vAlign w:val="center"/>
          </w:tcPr>
          <w:p>
            <w:pPr>
              <w:rPr>
                <w:rFonts w:ascii="Calibri" w:hAnsi="Calibri" w:cs="Calibri"/>
                <w:szCs w:val="22"/>
              </w:rPr>
            </w:pPr>
          </w:p>
        </w:tc>
        <w:tc>
          <w:tcPr>
            <w:tcW w:w="1267" w:type="dxa"/>
            <w:tcBorders>
              <w:top w:val="nil"/>
              <w:left w:val="single" w:color="auto" w:sz="4" w:space="0"/>
              <w:bottom w:val="nil"/>
              <w:right w:val="single" w:color="auto" w:sz="4" w:space="0"/>
            </w:tcBorders>
            <w:shd w:val="clear" w:color="auto" w:fill="auto"/>
            <w:textDirection w:val="tbRlV"/>
            <w:vAlign w:val="center"/>
          </w:tcPr>
          <w:p>
            <w:pPr>
              <w:rPr>
                <w:rFonts w:ascii="Calibri" w:hAnsi="Calibri" w:cs="Calibri"/>
                <w:szCs w:val="22"/>
              </w:rPr>
            </w:pPr>
          </w:p>
        </w:tc>
        <w:tc>
          <w:tcPr>
            <w:tcW w:w="4264"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lang w:val="en-US" w:eastAsia="zh-CN"/>
              </w:rPr>
              <w:t>2</w:t>
            </w:r>
            <w:r>
              <w:rPr>
                <w:rFonts w:hint="eastAsia" w:ascii="仿宋_GB2312" w:hAnsi="宋体" w:eastAsia="仿宋_GB2312" w:cs="宋体"/>
                <w:kern w:val="0"/>
                <w:sz w:val="24"/>
              </w:rPr>
              <w:t>.</w:t>
            </w:r>
            <w:r>
              <w:rPr>
                <w:rFonts w:hint="eastAsia"/>
              </w:rPr>
              <w:t xml:space="preserve"> </w:t>
            </w:r>
            <w:r>
              <w:rPr>
                <w:rFonts w:hint="eastAsia" w:ascii="仿宋_GB2312" w:hAnsi="宋体" w:eastAsia="仿宋_GB2312" w:cs="宋体"/>
                <w:kern w:val="0"/>
                <w:sz w:val="24"/>
              </w:rPr>
              <w:t>国有企业资本金注入</w:t>
            </w:r>
          </w:p>
        </w:tc>
        <w:tc>
          <w:tcPr>
            <w:tcW w:w="3235"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27600</w:t>
            </w:r>
          </w:p>
        </w:tc>
      </w:tr>
      <w:tr>
        <w:tblPrEx>
          <w:tblCellMar>
            <w:top w:w="0" w:type="dxa"/>
            <w:left w:w="108" w:type="dxa"/>
            <w:bottom w:w="0" w:type="dxa"/>
            <w:right w:w="108" w:type="dxa"/>
          </w:tblCellMar>
        </w:tblPrEx>
        <w:trPr>
          <w:trHeight w:val="70" w:hRule="atLeast"/>
        </w:trPr>
        <w:tc>
          <w:tcPr>
            <w:tcW w:w="709" w:type="dxa"/>
            <w:vMerge w:val="continue"/>
            <w:tcBorders>
              <w:top w:val="nil"/>
              <w:left w:val="single" w:color="auto" w:sz="4" w:space="0"/>
              <w:bottom w:val="single" w:color="000000" w:sz="4" w:space="0"/>
              <w:right w:val="single" w:color="auto" w:sz="4" w:space="0"/>
            </w:tcBorders>
            <w:shd w:val="clear" w:color="auto" w:fill="auto"/>
            <w:textDirection w:val="tbRlV"/>
            <w:vAlign w:val="center"/>
          </w:tcPr>
          <w:p>
            <w:pPr>
              <w:rPr>
                <w:rFonts w:ascii="Calibri" w:hAnsi="Calibri" w:cs="Calibri"/>
                <w:szCs w:val="22"/>
              </w:rPr>
            </w:pPr>
          </w:p>
        </w:tc>
        <w:tc>
          <w:tcPr>
            <w:tcW w:w="1267" w:type="dxa"/>
            <w:tcBorders>
              <w:top w:val="nil"/>
              <w:left w:val="single" w:color="auto" w:sz="4" w:space="0"/>
              <w:bottom w:val="nil"/>
              <w:right w:val="single" w:color="auto" w:sz="4" w:space="0"/>
            </w:tcBorders>
            <w:shd w:val="clear" w:color="auto" w:fill="auto"/>
            <w:textDirection w:val="tbRlV"/>
            <w:vAlign w:val="center"/>
          </w:tcPr>
          <w:p>
            <w:pPr>
              <w:rPr>
                <w:rFonts w:ascii="Calibri" w:hAnsi="Calibri" w:cs="Calibri"/>
                <w:szCs w:val="22"/>
              </w:rPr>
            </w:pPr>
          </w:p>
        </w:tc>
        <w:tc>
          <w:tcPr>
            <w:tcW w:w="4264"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仿宋_GB2312" w:hAnsi="宋体" w:eastAsia="仿宋_GB2312" w:cs="宋体"/>
                <w:kern w:val="0"/>
                <w:sz w:val="24"/>
                <w:lang w:eastAsia="zh-CN"/>
              </w:rPr>
            </w:pPr>
            <w:r>
              <w:rPr>
                <w:rFonts w:hint="eastAsia" w:ascii="仿宋_GB2312" w:hAnsi="宋体" w:eastAsia="仿宋_GB2312" w:cs="宋体"/>
                <w:kern w:val="0"/>
                <w:sz w:val="24"/>
                <w:lang w:val="en-US" w:eastAsia="zh-CN"/>
              </w:rPr>
              <w:t>3</w:t>
            </w:r>
            <w:r>
              <w:rPr>
                <w:rFonts w:hint="eastAsia" w:ascii="仿宋_GB2312" w:hAnsi="宋体" w:eastAsia="仿宋_GB2312" w:cs="宋体"/>
                <w:kern w:val="0"/>
                <w:sz w:val="24"/>
              </w:rPr>
              <w:t xml:space="preserve">. </w:t>
            </w:r>
            <w:r>
              <w:rPr>
                <w:rFonts w:hint="eastAsia" w:ascii="仿宋_GB2312" w:hAnsi="宋体" w:eastAsia="仿宋_GB2312" w:cs="宋体"/>
                <w:kern w:val="0"/>
                <w:sz w:val="24"/>
                <w:lang w:eastAsia="zh-CN"/>
              </w:rPr>
              <w:t>市民之家营运补贴</w:t>
            </w:r>
          </w:p>
        </w:tc>
        <w:tc>
          <w:tcPr>
            <w:tcW w:w="3235"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2000</w:t>
            </w:r>
          </w:p>
        </w:tc>
      </w:tr>
      <w:tr>
        <w:tblPrEx>
          <w:tblCellMar>
            <w:top w:w="0" w:type="dxa"/>
            <w:left w:w="108" w:type="dxa"/>
            <w:bottom w:w="0" w:type="dxa"/>
            <w:right w:w="108" w:type="dxa"/>
          </w:tblCellMar>
        </w:tblPrEx>
        <w:trPr>
          <w:trHeight w:val="70" w:hRule="atLeast"/>
        </w:trPr>
        <w:tc>
          <w:tcPr>
            <w:tcW w:w="709" w:type="dxa"/>
            <w:vMerge w:val="continue"/>
            <w:tcBorders>
              <w:top w:val="nil"/>
              <w:left w:val="single" w:color="auto" w:sz="4" w:space="0"/>
              <w:bottom w:val="single" w:color="000000" w:sz="4" w:space="0"/>
              <w:right w:val="single" w:color="auto" w:sz="4" w:space="0"/>
            </w:tcBorders>
            <w:shd w:val="clear" w:color="auto" w:fill="auto"/>
            <w:textDirection w:val="tbRlV"/>
            <w:vAlign w:val="center"/>
          </w:tcPr>
          <w:p>
            <w:pPr>
              <w:rPr>
                <w:rFonts w:ascii="Calibri" w:hAnsi="Calibri" w:cs="Calibri"/>
                <w:szCs w:val="22"/>
              </w:rPr>
            </w:pPr>
          </w:p>
        </w:tc>
        <w:tc>
          <w:tcPr>
            <w:tcW w:w="1267" w:type="dxa"/>
            <w:tcBorders>
              <w:top w:val="nil"/>
              <w:left w:val="single" w:color="auto" w:sz="4" w:space="0"/>
              <w:bottom w:val="nil"/>
              <w:right w:val="single" w:color="auto" w:sz="4" w:space="0"/>
            </w:tcBorders>
            <w:shd w:val="clear" w:color="auto" w:fill="auto"/>
            <w:textDirection w:val="tbRlV"/>
            <w:vAlign w:val="center"/>
          </w:tcPr>
          <w:p>
            <w:pPr>
              <w:rPr>
                <w:rFonts w:ascii="Calibri" w:hAnsi="Calibri" w:cs="Calibri"/>
                <w:szCs w:val="22"/>
              </w:rPr>
            </w:pPr>
          </w:p>
        </w:tc>
        <w:tc>
          <w:tcPr>
            <w:tcW w:w="4264"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rPr>
              <w:t xml:space="preserve">4. </w:t>
            </w:r>
            <w:r>
              <w:rPr>
                <w:rFonts w:hint="eastAsia" w:ascii="仿宋_GB2312" w:hAnsi="宋体" w:eastAsia="仿宋_GB2312" w:cs="宋体"/>
                <w:kern w:val="0"/>
                <w:sz w:val="24"/>
                <w:lang w:eastAsia="zh-CN"/>
              </w:rPr>
              <w:t>国有企业改革成本支出</w:t>
            </w:r>
          </w:p>
        </w:tc>
        <w:tc>
          <w:tcPr>
            <w:tcW w:w="3235"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lang w:val="en-US" w:eastAsia="zh-CN"/>
              </w:rPr>
              <w:t>572.36</w:t>
            </w:r>
          </w:p>
        </w:tc>
      </w:tr>
      <w:tr>
        <w:tblPrEx>
          <w:tblCellMar>
            <w:top w:w="0" w:type="dxa"/>
            <w:left w:w="108" w:type="dxa"/>
            <w:bottom w:w="0" w:type="dxa"/>
            <w:right w:w="108" w:type="dxa"/>
          </w:tblCellMar>
        </w:tblPrEx>
        <w:trPr>
          <w:trHeight w:val="70" w:hRule="atLeast"/>
        </w:trPr>
        <w:tc>
          <w:tcPr>
            <w:tcW w:w="709" w:type="dxa"/>
            <w:vMerge w:val="continue"/>
            <w:tcBorders>
              <w:top w:val="nil"/>
              <w:left w:val="single" w:color="auto" w:sz="4" w:space="0"/>
              <w:bottom w:val="single" w:color="000000" w:sz="4" w:space="0"/>
              <w:right w:val="single" w:color="auto" w:sz="4" w:space="0"/>
            </w:tcBorders>
            <w:shd w:val="clear" w:color="auto" w:fill="auto"/>
            <w:textDirection w:val="tbRlV"/>
            <w:vAlign w:val="center"/>
          </w:tcPr>
          <w:p>
            <w:pPr>
              <w:rPr>
                <w:rFonts w:ascii="Calibri" w:hAnsi="Calibri" w:cs="Calibri"/>
                <w:szCs w:val="22"/>
              </w:rPr>
            </w:pPr>
          </w:p>
        </w:tc>
        <w:tc>
          <w:tcPr>
            <w:tcW w:w="1267" w:type="dxa"/>
            <w:tcBorders>
              <w:top w:val="nil"/>
              <w:left w:val="single" w:color="auto" w:sz="4" w:space="0"/>
              <w:bottom w:val="nil"/>
              <w:right w:val="single" w:color="auto" w:sz="4" w:space="0"/>
            </w:tcBorders>
            <w:shd w:val="clear" w:color="auto" w:fill="auto"/>
            <w:textDirection w:val="tbRlV"/>
            <w:vAlign w:val="center"/>
          </w:tcPr>
          <w:p>
            <w:pPr>
              <w:rPr>
                <w:rFonts w:ascii="Calibri" w:hAnsi="Calibri" w:cs="Calibri"/>
                <w:szCs w:val="22"/>
              </w:rPr>
            </w:pPr>
          </w:p>
        </w:tc>
        <w:tc>
          <w:tcPr>
            <w:tcW w:w="4264"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lang w:val="en-US" w:eastAsia="zh-CN"/>
              </w:rPr>
              <w:t>5</w:t>
            </w:r>
            <w:r>
              <w:rPr>
                <w:rFonts w:hint="eastAsia" w:ascii="仿宋_GB2312" w:hAnsi="宋体" w:eastAsia="仿宋_GB2312" w:cs="宋体"/>
                <w:kern w:val="0"/>
                <w:sz w:val="24"/>
              </w:rPr>
              <w:t xml:space="preserve">. </w:t>
            </w:r>
            <w:r>
              <w:rPr>
                <w:rFonts w:hint="eastAsia" w:ascii="仿宋_GB2312" w:hAnsi="宋体" w:eastAsia="仿宋_GB2312" w:cs="宋体"/>
                <w:kern w:val="0"/>
                <w:sz w:val="24"/>
                <w:lang w:eastAsia="zh-CN"/>
              </w:rPr>
              <w:t>外派董事支出</w:t>
            </w:r>
          </w:p>
        </w:tc>
        <w:tc>
          <w:tcPr>
            <w:tcW w:w="3235"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1101</w:t>
            </w:r>
          </w:p>
        </w:tc>
      </w:tr>
      <w:tr>
        <w:tblPrEx>
          <w:tblCellMar>
            <w:top w:w="0" w:type="dxa"/>
            <w:left w:w="108" w:type="dxa"/>
            <w:bottom w:w="0" w:type="dxa"/>
            <w:right w:w="108" w:type="dxa"/>
          </w:tblCellMar>
        </w:tblPrEx>
        <w:trPr>
          <w:trHeight w:val="585" w:hRule="atLeast"/>
        </w:trPr>
        <w:tc>
          <w:tcPr>
            <w:tcW w:w="709" w:type="dxa"/>
            <w:vMerge w:val="continue"/>
            <w:tcBorders>
              <w:top w:val="nil"/>
              <w:left w:val="single" w:color="auto" w:sz="4" w:space="0"/>
              <w:bottom w:val="single" w:color="000000" w:sz="4" w:space="0"/>
              <w:right w:val="single" w:color="auto" w:sz="4" w:space="0"/>
            </w:tcBorders>
            <w:shd w:val="clear" w:color="auto" w:fill="auto"/>
            <w:textDirection w:val="tbRlV"/>
            <w:vAlign w:val="center"/>
          </w:tcPr>
          <w:p>
            <w:pPr>
              <w:rPr>
                <w:rFonts w:ascii="Calibri" w:hAnsi="Calibri" w:cs="Calibri"/>
                <w:szCs w:val="22"/>
              </w:rPr>
            </w:pPr>
          </w:p>
        </w:tc>
        <w:tc>
          <w:tcPr>
            <w:tcW w:w="12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测算依据及说明</w:t>
            </w:r>
          </w:p>
        </w:tc>
        <w:tc>
          <w:tcPr>
            <w:tcW w:w="7499" w:type="dxa"/>
            <w:gridSpan w:val="6"/>
            <w:tcBorders>
              <w:top w:val="single" w:color="auto" w:sz="4" w:space="0"/>
              <w:left w:val="nil"/>
              <w:bottom w:val="single" w:color="auto" w:sz="4" w:space="0"/>
              <w:right w:val="single" w:color="000000" w:sz="4" w:space="0"/>
            </w:tcBorders>
            <w:shd w:val="clear" w:color="auto" w:fill="auto"/>
          </w:tcPr>
          <w:p>
            <w:pPr>
              <w:widowControl/>
              <w:spacing w:line="276" w:lineRule="auto"/>
              <w:jc w:val="left"/>
              <w:rPr>
                <w:rFonts w:ascii="仿宋_GB2312" w:hAnsi="宋体" w:eastAsia="仿宋_GB2312" w:cs="宋体"/>
                <w:kern w:val="0"/>
                <w:sz w:val="24"/>
              </w:rPr>
            </w:pPr>
            <w:r>
              <w:rPr>
                <w:rFonts w:hint="eastAsia" w:ascii="仿宋_GB2312" w:hAnsi="宋体" w:eastAsia="仿宋_GB2312" w:cs="宋体"/>
                <w:kern w:val="0"/>
                <w:sz w:val="24"/>
              </w:rPr>
              <w:t>1.国有企业退休人员社会化管理补助支出依据原市领导批示精神及实际需补助人数进行测算；</w:t>
            </w:r>
          </w:p>
          <w:p>
            <w:pPr>
              <w:widowControl/>
              <w:spacing w:line="276" w:lineRule="auto"/>
              <w:jc w:val="left"/>
              <w:rPr>
                <w:rFonts w:ascii="仿宋_GB2312" w:hAnsi="宋体" w:eastAsia="仿宋_GB2312" w:cs="宋体"/>
                <w:kern w:val="0"/>
                <w:sz w:val="24"/>
              </w:rPr>
            </w:pPr>
            <w:r>
              <w:rPr>
                <w:rFonts w:hint="eastAsia" w:ascii="仿宋_GB2312" w:hAnsi="宋体" w:eastAsia="仿宋_GB2312" w:cs="宋体"/>
                <w:kern w:val="0"/>
                <w:sz w:val="24"/>
                <w:lang w:val="en-US" w:eastAsia="zh-CN"/>
              </w:rPr>
              <w:t>2</w:t>
            </w:r>
            <w:r>
              <w:rPr>
                <w:rFonts w:hint="eastAsia" w:ascii="仿宋_GB2312" w:hAnsi="宋体" w:eastAsia="仿宋_GB2312" w:cs="宋体"/>
                <w:kern w:val="0"/>
                <w:sz w:val="24"/>
              </w:rPr>
              <w:t>.</w:t>
            </w:r>
            <w:r>
              <w:rPr>
                <w:rFonts w:hint="eastAsia" w:ascii="仿宋_GB2312" w:hAnsi="宋体" w:eastAsia="仿宋_GB2312" w:cs="宋体"/>
                <w:kern w:val="0"/>
                <w:sz w:val="24"/>
                <w:lang w:eastAsia="zh-CN"/>
              </w:rPr>
              <w:t>国企改革专项资金</w:t>
            </w:r>
            <w:r>
              <w:rPr>
                <w:rFonts w:hint="eastAsia" w:ascii="仿宋_GB2312" w:hAnsi="宋体" w:eastAsia="仿宋_GB2312" w:cs="宋体"/>
                <w:kern w:val="0"/>
                <w:sz w:val="24"/>
              </w:rPr>
              <w:t>主要依据</w:t>
            </w:r>
            <w:r>
              <w:rPr>
                <w:rFonts w:hint="eastAsia" w:ascii="仿宋_GB2312" w:hAnsi="宋体" w:eastAsia="仿宋_GB2312" w:cs="宋体"/>
                <w:kern w:val="0"/>
                <w:sz w:val="24"/>
                <w:lang w:eastAsia="zh-CN"/>
              </w:rPr>
              <w:t>市委市政府关于全市国资国企改革总体部署，建立国有资本投资运营公司、加快新旧动能转换及推动企业创新发展等</w:t>
            </w:r>
            <w:r>
              <w:rPr>
                <w:rFonts w:hint="eastAsia" w:ascii="仿宋_GB2312" w:hAnsi="宋体" w:eastAsia="仿宋_GB2312" w:cs="宋体"/>
                <w:kern w:val="0"/>
                <w:sz w:val="24"/>
              </w:rPr>
              <w:t>项目</w:t>
            </w:r>
            <w:r>
              <w:rPr>
                <w:rFonts w:hint="eastAsia" w:ascii="仿宋_GB2312" w:hAnsi="宋体" w:eastAsia="仿宋_GB2312" w:cs="宋体"/>
                <w:kern w:val="0"/>
                <w:sz w:val="24"/>
                <w:lang w:eastAsia="zh-CN"/>
              </w:rPr>
              <w:t>进行</w:t>
            </w:r>
            <w:r>
              <w:rPr>
                <w:rFonts w:hint="eastAsia" w:ascii="仿宋_GB2312" w:hAnsi="宋体" w:eastAsia="仿宋_GB2312" w:cs="宋体"/>
                <w:kern w:val="0"/>
                <w:sz w:val="24"/>
              </w:rPr>
              <w:t>测算；</w:t>
            </w:r>
          </w:p>
          <w:p>
            <w:pPr>
              <w:widowControl/>
              <w:spacing w:line="276" w:lineRule="auto"/>
              <w:jc w:val="left"/>
              <w:rPr>
                <w:rFonts w:hint="eastAsia" w:ascii="仿宋_GB2312" w:hAnsi="宋体" w:eastAsia="仿宋_GB2312" w:cs="宋体"/>
                <w:kern w:val="0"/>
                <w:sz w:val="24"/>
                <w:lang w:eastAsia="zh-CN"/>
              </w:rPr>
            </w:pPr>
            <w:r>
              <w:rPr>
                <w:rFonts w:hint="eastAsia" w:ascii="仿宋_GB2312" w:hAnsi="宋体" w:eastAsia="仿宋_GB2312" w:cs="宋体"/>
                <w:kern w:val="0"/>
                <w:sz w:val="24"/>
                <w:lang w:val="en-US" w:eastAsia="zh-CN"/>
              </w:rPr>
              <w:t>3</w:t>
            </w:r>
            <w:r>
              <w:rPr>
                <w:rFonts w:hint="eastAsia" w:ascii="仿宋_GB2312" w:hAnsi="宋体" w:eastAsia="仿宋_GB2312" w:cs="宋体"/>
                <w:kern w:val="0"/>
                <w:sz w:val="24"/>
              </w:rPr>
              <w:t>.其他国有企业资本金注入主要依据国有企业改革实际</w:t>
            </w:r>
            <w:r>
              <w:rPr>
                <w:rFonts w:hint="eastAsia" w:ascii="仿宋_GB2312" w:hAnsi="宋体" w:eastAsia="仿宋_GB2312" w:cs="宋体"/>
                <w:kern w:val="0"/>
                <w:sz w:val="24"/>
                <w:lang w:eastAsia="zh-CN"/>
              </w:rPr>
              <w:t>推进进度</w:t>
            </w:r>
            <w:r>
              <w:rPr>
                <w:rFonts w:hint="eastAsia" w:ascii="仿宋_GB2312" w:hAnsi="宋体" w:eastAsia="仿宋_GB2312" w:cs="宋体"/>
                <w:kern w:val="0"/>
                <w:sz w:val="24"/>
              </w:rPr>
              <w:t>测算；</w:t>
            </w:r>
          </w:p>
          <w:p>
            <w:pPr>
              <w:widowControl/>
              <w:spacing w:line="276" w:lineRule="auto"/>
              <w:jc w:val="left"/>
              <w:rPr>
                <w:rFonts w:ascii="仿宋_GB2312" w:hAnsi="宋体" w:eastAsia="仿宋_GB2312" w:cs="宋体"/>
                <w:kern w:val="0"/>
                <w:sz w:val="24"/>
              </w:rPr>
            </w:pPr>
            <w:r>
              <w:rPr>
                <w:rFonts w:hint="eastAsia" w:ascii="仿宋_GB2312" w:hAnsi="宋体" w:eastAsia="仿宋_GB2312" w:cs="宋体"/>
                <w:kern w:val="0"/>
                <w:sz w:val="24"/>
                <w:lang w:val="en-US" w:eastAsia="zh-CN"/>
              </w:rPr>
              <w:t>4</w:t>
            </w:r>
            <w:r>
              <w:rPr>
                <w:rFonts w:hint="eastAsia" w:ascii="仿宋_GB2312" w:hAnsi="宋体" w:eastAsia="仿宋_GB2312" w:cs="宋体"/>
                <w:kern w:val="0"/>
                <w:sz w:val="24"/>
              </w:rPr>
              <w:t>.国有企业政策性补贴由</w:t>
            </w:r>
            <w:r>
              <w:rPr>
                <w:rFonts w:hint="eastAsia" w:ascii="仿宋_GB2312" w:hAnsi="宋体" w:eastAsia="仿宋_GB2312" w:cs="宋体"/>
                <w:kern w:val="0"/>
                <w:sz w:val="24"/>
                <w:lang w:eastAsia="zh-CN"/>
              </w:rPr>
              <w:t>市政府会议纪要及</w:t>
            </w:r>
            <w:r>
              <w:rPr>
                <w:rFonts w:hint="eastAsia" w:ascii="仿宋_GB2312" w:hAnsi="宋体" w:eastAsia="仿宋_GB2312" w:cs="宋体"/>
                <w:kern w:val="0"/>
                <w:sz w:val="24"/>
              </w:rPr>
              <w:t>市领导批示文件确定；</w:t>
            </w:r>
          </w:p>
          <w:p>
            <w:pPr>
              <w:widowControl/>
              <w:spacing w:line="276" w:lineRule="auto"/>
              <w:jc w:val="left"/>
              <w:rPr>
                <w:rFonts w:ascii="仿宋_GB2312" w:hAnsi="宋体" w:eastAsia="仿宋_GB2312" w:cs="宋体"/>
                <w:kern w:val="0"/>
                <w:sz w:val="24"/>
              </w:rPr>
            </w:pPr>
            <w:r>
              <w:rPr>
                <w:rFonts w:hint="eastAsia" w:ascii="仿宋_GB2312" w:hAnsi="宋体" w:eastAsia="仿宋_GB2312" w:cs="宋体"/>
                <w:kern w:val="0"/>
                <w:sz w:val="24"/>
                <w:lang w:val="en-US" w:eastAsia="zh-CN"/>
              </w:rPr>
              <w:t>5</w:t>
            </w:r>
            <w:r>
              <w:rPr>
                <w:rFonts w:hint="eastAsia" w:ascii="仿宋_GB2312" w:hAnsi="宋体" w:eastAsia="仿宋_GB2312" w:cs="宋体"/>
                <w:kern w:val="0"/>
                <w:sz w:val="24"/>
              </w:rPr>
              <w:t>.</w:t>
            </w:r>
            <w:r>
              <w:rPr>
                <w:rFonts w:hint="eastAsia" w:ascii="仿宋_GB2312" w:hAnsi="宋体" w:eastAsia="仿宋_GB2312" w:cs="宋体"/>
                <w:kern w:val="0"/>
                <w:sz w:val="24"/>
                <w:lang w:eastAsia="zh-CN"/>
              </w:rPr>
              <w:t>划转一般公共预算按照《国务院关于印发推进财政资金统筹使用方案的通知》（国发【</w:t>
            </w:r>
            <w:r>
              <w:rPr>
                <w:rFonts w:hint="eastAsia" w:ascii="仿宋_GB2312" w:hAnsi="宋体" w:eastAsia="仿宋_GB2312" w:cs="宋体"/>
                <w:kern w:val="0"/>
                <w:sz w:val="24"/>
                <w:lang w:val="en-US" w:eastAsia="zh-CN"/>
              </w:rPr>
              <w:t>2015</w:t>
            </w:r>
            <w:r>
              <w:rPr>
                <w:rFonts w:hint="eastAsia" w:ascii="仿宋_GB2312" w:hAnsi="宋体" w:eastAsia="仿宋_GB2312" w:cs="宋体"/>
                <w:kern w:val="0"/>
                <w:sz w:val="24"/>
                <w:lang w:eastAsia="zh-CN"/>
              </w:rPr>
              <w:t>】</w:t>
            </w:r>
            <w:r>
              <w:rPr>
                <w:rFonts w:hint="eastAsia" w:ascii="仿宋_GB2312" w:hAnsi="宋体" w:eastAsia="仿宋_GB2312" w:cs="宋体"/>
                <w:kern w:val="0"/>
                <w:sz w:val="24"/>
                <w:lang w:val="en-US" w:eastAsia="zh-CN"/>
              </w:rPr>
              <w:t>35号</w:t>
            </w:r>
            <w:r>
              <w:rPr>
                <w:rFonts w:hint="eastAsia" w:ascii="仿宋_GB2312" w:hAnsi="宋体" w:eastAsia="仿宋_GB2312" w:cs="宋体"/>
                <w:kern w:val="0"/>
                <w:sz w:val="24"/>
                <w:lang w:eastAsia="zh-CN"/>
              </w:rPr>
              <w:t>）</w:t>
            </w:r>
            <w:r>
              <w:rPr>
                <w:rFonts w:hint="eastAsia" w:ascii="仿宋_GB2312" w:hAnsi="宋体" w:eastAsia="仿宋_GB2312" w:cs="宋体"/>
                <w:kern w:val="0"/>
                <w:sz w:val="24"/>
              </w:rPr>
              <w:t>测算。</w:t>
            </w:r>
          </w:p>
        </w:tc>
      </w:tr>
      <w:tr>
        <w:tblPrEx>
          <w:tblCellMar>
            <w:top w:w="0" w:type="dxa"/>
            <w:left w:w="108" w:type="dxa"/>
            <w:bottom w:w="0" w:type="dxa"/>
            <w:right w:w="108" w:type="dxa"/>
          </w:tblCellMar>
        </w:tblPrEx>
        <w:trPr>
          <w:trHeight w:val="333" w:hRule="atLeast"/>
        </w:trPr>
        <w:tc>
          <w:tcPr>
            <w:tcW w:w="1976" w:type="dxa"/>
            <w:gridSpan w:val="2"/>
            <w:tcBorders>
              <w:top w:val="single" w:color="auto" w:sz="4" w:space="0"/>
              <w:left w:val="single" w:color="auto" w:sz="4" w:space="0"/>
              <w:bottom w:val="nil"/>
              <w:right w:val="single" w:color="000000" w:sz="4" w:space="0"/>
            </w:tcBorders>
            <w:shd w:val="clear" w:color="auto" w:fill="auto"/>
            <w:vAlign w:val="center"/>
          </w:tcPr>
          <w:p>
            <w:pPr>
              <w:widowControl/>
              <w:jc w:val="center"/>
              <w:rPr>
                <w:rFonts w:hint="eastAsia" w:ascii="仿宋_GB2312" w:hAnsi="宋体" w:eastAsia="仿宋_GB2312" w:cs="宋体"/>
                <w:kern w:val="0"/>
                <w:sz w:val="24"/>
              </w:rPr>
            </w:pP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项目绩效总目标</w:t>
            </w:r>
          </w:p>
        </w:tc>
        <w:tc>
          <w:tcPr>
            <w:tcW w:w="7499" w:type="dxa"/>
            <w:gridSpan w:val="6"/>
            <w:tcBorders>
              <w:top w:val="single" w:color="auto" w:sz="4" w:space="0"/>
              <w:left w:val="nil"/>
              <w:bottom w:val="single" w:color="auto" w:sz="4" w:space="0"/>
              <w:right w:val="single" w:color="000000" w:sz="4" w:space="0"/>
            </w:tcBorders>
            <w:shd w:val="clear" w:color="auto" w:fill="auto"/>
            <w:vAlign w:val="center"/>
          </w:tcPr>
          <w:p>
            <w:pPr>
              <w:widowControl/>
              <w:ind w:firstLine="480" w:firstLineChars="200"/>
              <w:rPr>
                <w:rFonts w:hint="eastAsia" w:ascii="仿宋_GB2312" w:hAnsi="宋体" w:eastAsia="仿宋_GB2312" w:cs="宋体"/>
                <w:kern w:val="0"/>
                <w:sz w:val="24"/>
                <w:lang w:eastAsia="zh-CN"/>
              </w:rPr>
            </w:pPr>
          </w:p>
          <w:p>
            <w:pPr>
              <w:widowControl/>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lang w:eastAsia="zh-CN"/>
              </w:rPr>
              <w:t>市国资委</w:t>
            </w:r>
            <w:r>
              <w:rPr>
                <w:rFonts w:hint="eastAsia" w:ascii="仿宋_GB2312" w:hAnsi="宋体" w:eastAsia="仿宋_GB2312" w:cs="宋体"/>
                <w:kern w:val="0"/>
                <w:sz w:val="24"/>
              </w:rPr>
              <w:t>出资企业全面完成保值增值任务，资产规模、营业收入、利润总额等经济指标</w:t>
            </w:r>
            <w:r>
              <w:rPr>
                <w:rFonts w:hint="eastAsia" w:ascii="仿宋_GB2312" w:hAnsi="宋体" w:eastAsia="仿宋_GB2312" w:cs="宋体"/>
                <w:kern w:val="0"/>
                <w:sz w:val="24"/>
                <w:lang w:eastAsia="zh-CN"/>
              </w:rPr>
              <w:t>，各项收入</w:t>
            </w:r>
            <w:r>
              <w:rPr>
                <w:rFonts w:hint="eastAsia" w:ascii="仿宋_GB2312" w:hAnsi="宋体" w:eastAsia="仿宋_GB2312" w:cs="宋体"/>
                <w:kern w:val="0"/>
                <w:sz w:val="24"/>
              </w:rPr>
              <w:t>平稳增长，各项改革任务有序推进。</w:t>
            </w:r>
          </w:p>
          <w:p>
            <w:pPr>
              <w:widowControl/>
              <w:ind w:firstLine="480" w:firstLineChars="200"/>
              <w:rPr>
                <w:rFonts w:hint="eastAsia" w:ascii="仿宋_GB2312" w:hAnsi="宋体" w:eastAsia="仿宋_GB2312" w:cs="宋体"/>
                <w:kern w:val="0"/>
                <w:sz w:val="24"/>
              </w:rPr>
            </w:pPr>
          </w:p>
        </w:tc>
      </w:tr>
      <w:tr>
        <w:tblPrEx>
          <w:tblCellMar>
            <w:top w:w="0" w:type="dxa"/>
            <w:left w:w="108" w:type="dxa"/>
            <w:bottom w:w="0" w:type="dxa"/>
            <w:right w:w="108" w:type="dxa"/>
          </w:tblCellMar>
        </w:tblPrEx>
        <w:trPr>
          <w:trHeight w:val="609" w:hRule="atLeast"/>
        </w:trPr>
        <w:tc>
          <w:tcPr>
            <w:tcW w:w="1976"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项目年度绩效指标</w:t>
            </w: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一级指标</w:t>
            </w:r>
          </w:p>
        </w:tc>
        <w:tc>
          <w:tcPr>
            <w:tcW w:w="170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二级指标</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指标内容</w:t>
            </w:r>
          </w:p>
        </w:tc>
        <w:tc>
          <w:tcPr>
            <w:tcW w:w="227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指标值</w:t>
            </w: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备注</w:t>
            </w:r>
          </w:p>
        </w:tc>
      </w:tr>
      <w:tr>
        <w:tblPrEx>
          <w:tblCellMar>
            <w:top w:w="0" w:type="dxa"/>
            <w:left w:w="108" w:type="dxa"/>
            <w:bottom w:w="0" w:type="dxa"/>
            <w:right w:w="108" w:type="dxa"/>
          </w:tblCellMar>
        </w:tblPrEx>
        <w:trPr>
          <w:trHeight w:val="409" w:hRule="atLeast"/>
        </w:trPr>
        <w:tc>
          <w:tcPr>
            <w:tcW w:w="1976" w:type="dxa"/>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rPr>
                <w:rFonts w:ascii="Calibri" w:hAnsi="Calibri" w:cs="Calibri"/>
                <w:szCs w:val="22"/>
              </w:rPr>
            </w:pPr>
          </w:p>
        </w:tc>
        <w:tc>
          <w:tcPr>
            <w:tcW w:w="128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产出指标</w:t>
            </w:r>
          </w:p>
        </w:tc>
        <w:tc>
          <w:tcPr>
            <w:tcW w:w="170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数量指标</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出资企业国有资本保值增值率</w:t>
            </w:r>
          </w:p>
        </w:tc>
        <w:tc>
          <w:tcPr>
            <w:tcW w:w="2270"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rPr>
              <w:t>　101%</w:t>
            </w: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409" w:hRule="atLeast"/>
        </w:trPr>
        <w:tc>
          <w:tcPr>
            <w:tcW w:w="1976" w:type="dxa"/>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rPr>
                <w:rFonts w:ascii="Calibri" w:hAnsi="Calibri" w:cs="Calibri"/>
                <w:szCs w:val="22"/>
              </w:rPr>
            </w:pPr>
          </w:p>
        </w:tc>
        <w:tc>
          <w:tcPr>
            <w:tcW w:w="1282"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Calibri" w:hAnsi="Calibri" w:cs="Calibri"/>
                <w:szCs w:val="22"/>
              </w:rPr>
            </w:pPr>
          </w:p>
        </w:tc>
        <w:tc>
          <w:tcPr>
            <w:tcW w:w="170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质量指标</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规范出资企业董事会建设</w:t>
            </w:r>
          </w:p>
        </w:tc>
        <w:tc>
          <w:tcPr>
            <w:tcW w:w="227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eastAsia="zh-CN"/>
              </w:rPr>
              <w:t>规范</w:t>
            </w:r>
            <w:r>
              <w:rPr>
                <w:rFonts w:hint="eastAsia" w:ascii="仿宋_GB2312" w:hAnsi="宋体" w:eastAsia="仿宋_GB2312" w:cs="宋体"/>
                <w:kern w:val="0"/>
                <w:sz w:val="24"/>
              </w:rPr>
              <w:t>指导首批企业完成规范董事会建设工作</w:t>
            </w: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409" w:hRule="atLeast"/>
        </w:trPr>
        <w:tc>
          <w:tcPr>
            <w:tcW w:w="1976" w:type="dxa"/>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rPr>
                <w:rFonts w:ascii="Calibri" w:hAnsi="Calibri" w:cs="Calibri"/>
                <w:szCs w:val="22"/>
              </w:rPr>
            </w:pPr>
          </w:p>
        </w:tc>
        <w:tc>
          <w:tcPr>
            <w:tcW w:w="1282"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Calibri" w:hAnsi="Calibri" w:cs="Calibri"/>
                <w:szCs w:val="22"/>
              </w:rPr>
            </w:pPr>
          </w:p>
        </w:tc>
        <w:tc>
          <w:tcPr>
            <w:tcW w:w="170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时效指标</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227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409" w:hRule="atLeast"/>
        </w:trPr>
        <w:tc>
          <w:tcPr>
            <w:tcW w:w="1976" w:type="dxa"/>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rPr>
                <w:rFonts w:ascii="Calibri" w:hAnsi="Calibri" w:cs="Calibri"/>
                <w:szCs w:val="22"/>
              </w:rPr>
            </w:pPr>
          </w:p>
        </w:tc>
        <w:tc>
          <w:tcPr>
            <w:tcW w:w="1282"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Calibri" w:hAnsi="Calibri" w:cs="Calibri"/>
                <w:szCs w:val="22"/>
              </w:rPr>
            </w:pPr>
          </w:p>
        </w:tc>
        <w:tc>
          <w:tcPr>
            <w:tcW w:w="170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成本指标</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227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409" w:hRule="atLeast"/>
        </w:trPr>
        <w:tc>
          <w:tcPr>
            <w:tcW w:w="1976" w:type="dxa"/>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rPr>
                <w:rFonts w:ascii="Calibri" w:hAnsi="Calibri" w:cs="Calibri"/>
                <w:szCs w:val="22"/>
              </w:rPr>
            </w:pPr>
          </w:p>
        </w:tc>
        <w:tc>
          <w:tcPr>
            <w:tcW w:w="128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705" w:type="dxa"/>
            <w:gridSpan w:val="2"/>
            <w:vMerge w:val="restart"/>
            <w:tcBorders>
              <w:left w:val="nil"/>
              <w:right w:val="single" w:color="auto" w:sz="4" w:space="0"/>
            </w:tcBorders>
            <w:shd w:val="clear" w:color="auto" w:fill="auto"/>
            <w:vAlign w:val="center"/>
          </w:tcPr>
          <w:p>
            <w:pPr>
              <w:widowControl/>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lang w:eastAsia="zh-CN"/>
              </w:rPr>
              <w:t>经济效益指标</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出资企业资产总规模增长</w:t>
            </w:r>
          </w:p>
        </w:tc>
        <w:tc>
          <w:tcPr>
            <w:tcW w:w="227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w:t>
            </w: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409" w:hRule="atLeast"/>
        </w:trPr>
        <w:tc>
          <w:tcPr>
            <w:tcW w:w="1976" w:type="dxa"/>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rPr>
                <w:rFonts w:ascii="Calibri" w:hAnsi="Calibri" w:cs="Calibri"/>
                <w:szCs w:val="22"/>
              </w:rPr>
            </w:pPr>
          </w:p>
        </w:tc>
        <w:tc>
          <w:tcPr>
            <w:tcW w:w="128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705" w:type="dxa"/>
            <w:gridSpan w:val="2"/>
            <w:vMerge w:val="continue"/>
            <w:tcBorders>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出资企业利润总额增长</w:t>
            </w:r>
          </w:p>
        </w:tc>
        <w:tc>
          <w:tcPr>
            <w:tcW w:w="227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3</w:t>
            </w:r>
            <w:r>
              <w:rPr>
                <w:rFonts w:hint="eastAsia" w:ascii="仿宋_GB2312" w:hAnsi="宋体" w:eastAsia="仿宋_GB2312" w:cs="宋体"/>
                <w:kern w:val="0"/>
                <w:sz w:val="24"/>
              </w:rPr>
              <w:t>%</w:t>
            </w: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409" w:hRule="atLeast"/>
        </w:trPr>
        <w:tc>
          <w:tcPr>
            <w:tcW w:w="1976" w:type="dxa"/>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rPr>
                <w:rFonts w:ascii="Calibri" w:hAnsi="Calibri" w:cs="Calibri"/>
                <w:szCs w:val="22"/>
              </w:rPr>
            </w:pPr>
          </w:p>
        </w:tc>
        <w:tc>
          <w:tcPr>
            <w:tcW w:w="1282"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Calibri" w:hAnsi="Calibri" w:cs="Calibri"/>
                <w:szCs w:val="22"/>
              </w:rPr>
            </w:pPr>
          </w:p>
        </w:tc>
        <w:tc>
          <w:tcPr>
            <w:tcW w:w="170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社会效益指标</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227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409" w:hRule="atLeast"/>
        </w:trPr>
        <w:tc>
          <w:tcPr>
            <w:tcW w:w="1976" w:type="dxa"/>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rPr>
                <w:rFonts w:ascii="Calibri" w:hAnsi="Calibri" w:cs="Calibri"/>
                <w:szCs w:val="22"/>
              </w:rPr>
            </w:pPr>
          </w:p>
        </w:tc>
        <w:tc>
          <w:tcPr>
            <w:tcW w:w="1282"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Calibri" w:hAnsi="Calibri" w:cs="Calibri"/>
                <w:szCs w:val="22"/>
              </w:rPr>
            </w:pPr>
          </w:p>
        </w:tc>
        <w:tc>
          <w:tcPr>
            <w:tcW w:w="170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环境效益指标</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227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409" w:hRule="atLeast"/>
        </w:trPr>
        <w:tc>
          <w:tcPr>
            <w:tcW w:w="1976" w:type="dxa"/>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rPr>
                <w:rFonts w:ascii="Calibri" w:hAnsi="Calibri" w:cs="Calibri"/>
                <w:szCs w:val="22"/>
              </w:rPr>
            </w:pPr>
          </w:p>
        </w:tc>
        <w:tc>
          <w:tcPr>
            <w:tcW w:w="1282"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Calibri" w:hAnsi="Calibri" w:cs="Calibri"/>
                <w:szCs w:val="22"/>
              </w:rPr>
            </w:pPr>
          </w:p>
        </w:tc>
        <w:tc>
          <w:tcPr>
            <w:tcW w:w="170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可持续影响指标</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227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75" w:hRule="atLeast"/>
        </w:trPr>
        <w:tc>
          <w:tcPr>
            <w:tcW w:w="1976" w:type="dxa"/>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rPr>
                <w:rFonts w:ascii="Calibri" w:hAnsi="Calibri" w:cs="Calibri"/>
                <w:szCs w:val="22"/>
              </w:rPr>
            </w:pPr>
          </w:p>
        </w:tc>
        <w:tc>
          <w:tcPr>
            <w:tcW w:w="1282"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Calibri" w:hAnsi="Calibri" w:cs="Calibri"/>
                <w:szCs w:val="22"/>
              </w:rPr>
            </w:pPr>
          </w:p>
        </w:tc>
        <w:tc>
          <w:tcPr>
            <w:tcW w:w="170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社会公众或服务对象满意度指标</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出资企业服务满意度</w:t>
            </w:r>
          </w:p>
        </w:tc>
        <w:tc>
          <w:tcPr>
            <w:tcW w:w="227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100%</w:t>
            </w: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bl>
    <w:p/>
    <w:p/>
    <w:sectPr>
      <w:pgSz w:w="11906" w:h="16838"/>
      <w:pgMar w:top="1304" w:right="1361" w:bottom="1304"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3500FC"/>
    <w:rsid w:val="00016E58"/>
    <w:rsid w:val="000265FA"/>
    <w:rsid w:val="000F4F15"/>
    <w:rsid w:val="00105A68"/>
    <w:rsid w:val="00196EB0"/>
    <w:rsid w:val="00301DE5"/>
    <w:rsid w:val="00445858"/>
    <w:rsid w:val="0045580F"/>
    <w:rsid w:val="00531151"/>
    <w:rsid w:val="00584649"/>
    <w:rsid w:val="005A0483"/>
    <w:rsid w:val="00630E8B"/>
    <w:rsid w:val="0066176B"/>
    <w:rsid w:val="00671968"/>
    <w:rsid w:val="006A0113"/>
    <w:rsid w:val="006D5782"/>
    <w:rsid w:val="006F4B11"/>
    <w:rsid w:val="00772442"/>
    <w:rsid w:val="007929F4"/>
    <w:rsid w:val="008454F7"/>
    <w:rsid w:val="009773ED"/>
    <w:rsid w:val="009A6E8A"/>
    <w:rsid w:val="00A22924"/>
    <w:rsid w:val="00A574BC"/>
    <w:rsid w:val="00A82D92"/>
    <w:rsid w:val="00BB2DD6"/>
    <w:rsid w:val="00D2701B"/>
    <w:rsid w:val="00D6601B"/>
    <w:rsid w:val="00E305C2"/>
    <w:rsid w:val="00FC03D2"/>
    <w:rsid w:val="010A4C81"/>
    <w:rsid w:val="01635799"/>
    <w:rsid w:val="019E382F"/>
    <w:rsid w:val="02384E00"/>
    <w:rsid w:val="02DF3812"/>
    <w:rsid w:val="03430457"/>
    <w:rsid w:val="03773638"/>
    <w:rsid w:val="052804ED"/>
    <w:rsid w:val="06022657"/>
    <w:rsid w:val="0628764B"/>
    <w:rsid w:val="071367AF"/>
    <w:rsid w:val="0746459D"/>
    <w:rsid w:val="07A028BF"/>
    <w:rsid w:val="07AD4310"/>
    <w:rsid w:val="08C45742"/>
    <w:rsid w:val="096B7689"/>
    <w:rsid w:val="097878BC"/>
    <w:rsid w:val="098A0760"/>
    <w:rsid w:val="09B26AFD"/>
    <w:rsid w:val="0AC0019E"/>
    <w:rsid w:val="0B571E1E"/>
    <w:rsid w:val="0B6537C7"/>
    <w:rsid w:val="0C161A37"/>
    <w:rsid w:val="0D76491E"/>
    <w:rsid w:val="0EB3119C"/>
    <w:rsid w:val="0F1F68EA"/>
    <w:rsid w:val="0FA371E4"/>
    <w:rsid w:val="0FC2191D"/>
    <w:rsid w:val="0FFA07D2"/>
    <w:rsid w:val="103F3870"/>
    <w:rsid w:val="10604EAA"/>
    <w:rsid w:val="108F75DF"/>
    <w:rsid w:val="10926573"/>
    <w:rsid w:val="10AF6EB9"/>
    <w:rsid w:val="11B81837"/>
    <w:rsid w:val="12045F9C"/>
    <w:rsid w:val="12B85661"/>
    <w:rsid w:val="132116F6"/>
    <w:rsid w:val="13535961"/>
    <w:rsid w:val="13617F29"/>
    <w:rsid w:val="136A4C56"/>
    <w:rsid w:val="13877212"/>
    <w:rsid w:val="13F80356"/>
    <w:rsid w:val="143254AE"/>
    <w:rsid w:val="14AB3136"/>
    <w:rsid w:val="14BE4135"/>
    <w:rsid w:val="15292CEF"/>
    <w:rsid w:val="16031F86"/>
    <w:rsid w:val="16346E26"/>
    <w:rsid w:val="16864BE4"/>
    <w:rsid w:val="17893057"/>
    <w:rsid w:val="182A7D92"/>
    <w:rsid w:val="18AA1FFA"/>
    <w:rsid w:val="18CA6A2D"/>
    <w:rsid w:val="192D067B"/>
    <w:rsid w:val="1A2171D7"/>
    <w:rsid w:val="1A845863"/>
    <w:rsid w:val="1AD913BE"/>
    <w:rsid w:val="1B7E74B2"/>
    <w:rsid w:val="1BAD37CD"/>
    <w:rsid w:val="1BE944BB"/>
    <w:rsid w:val="1BED6167"/>
    <w:rsid w:val="1BFD5D91"/>
    <w:rsid w:val="1C2E4C09"/>
    <w:rsid w:val="1CF6357E"/>
    <w:rsid w:val="1D40635F"/>
    <w:rsid w:val="1E2E055B"/>
    <w:rsid w:val="1E720CAC"/>
    <w:rsid w:val="1EEA313F"/>
    <w:rsid w:val="1F1A77E6"/>
    <w:rsid w:val="20A27EC2"/>
    <w:rsid w:val="20E361B3"/>
    <w:rsid w:val="20E52B66"/>
    <w:rsid w:val="20FC1D00"/>
    <w:rsid w:val="217C7993"/>
    <w:rsid w:val="217E0C7F"/>
    <w:rsid w:val="21A11DB6"/>
    <w:rsid w:val="21DC13AA"/>
    <w:rsid w:val="21EF09A8"/>
    <w:rsid w:val="22516605"/>
    <w:rsid w:val="22A91A08"/>
    <w:rsid w:val="23332939"/>
    <w:rsid w:val="23442022"/>
    <w:rsid w:val="236653D4"/>
    <w:rsid w:val="237433FD"/>
    <w:rsid w:val="23ED1736"/>
    <w:rsid w:val="244E063E"/>
    <w:rsid w:val="24D871F1"/>
    <w:rsid w:val="259A309D"/>
    <w:rsid w:val="25D72E1A"/>
    <w:rsid w:val="264D10F0"/>
    <w:rsid w:val="270C497E"/>
    <w:rsid w:val="27405747"/>
    <w:rsid w:val="281A0411"/>
    <w:rsid w:val="281C2F96"/>
    <w:rsid w:val="281D50A0"/>
    <w:rsid w:val="298A38BA"/>
    <w:rsid w:val="2A0F1783"/>
    <w:rsid w:val="2A212F94"/>
    <w:rsid w:val="2A5A20FE"/>
    <w:rsid w:val="2A6B5089"/>
    <w:rsid w:val="2A846AAC"/>
    <w:rsid w:val="2A8535F7"/>
    <w:rsid w:val="2B233749"/>
    <w:rsid w:val="2BBC1ED5"/>
    <w:rsid w:val="2C6C501C"/>
    <w:rsid w:val="2DA84CD0"/>
    <w:rsid w:val="2DD81B7A"/>
    <w:rsid w:val="2F2173B1"/>
    <w:rsid w:val="2FA8504C"/>
    <w:rsid w:val="2FB90EC5"/>
    <w:rsid w:val="2FDC571A"/>
    <w:rsid w:val="30385D38"/>
    <w:rsid w:val="30890536"/>
    <w:rsid w:val="319D68BD"/>
    <w:rsid w:val="31E54F8F"/>
    <w:rsid w:val="322F1EAC"/>
    <w:rsid w:val="32814678"/>
    <w:rsid w:val="33014141"/>
    <w:rsid w:val="338C4E22"/>
    <w:rsid w:val="346E2D6B"/>
    <w:rsid w:val="347C5E6C"/>
    <w:rsid w:val="3514126C"/>
    <w:rsid w:val="359E5FEF"/>
    <w:rsid w:val="35A44C87"/>
    <w:rsid w:val="35D65E02"/>
    <w:rsid w:val="36037B1D"/>
    <w:rsid w:val="367967E6"/>
    <w:rsid w:val="37710EC4"/>
    <w:rsid w:val="385F367C"/>
    <w:rsid w:val="3892301D"/>
    <w:rsid w:val="3A71647C"/>
    <w:rsid w:val="3AD05C21"/>
    <w:rsid w:val="3B3233C6"/>
    <w:rsid w:val="3B781506"/>
    <w:rsid w:val="3C3216C1"/>
    <w:rsid w:val="3C550CDC"/>
    <w:rsid w:val="3C744C0C"/>
    <w:rsid w:val="3DE04DB0"/>
    <w:rsid w:val="3E4B0422"/>
    <w:rsid w:val="3E9359FA"/>
    <w:rsid w:val="3EB87FB3"/>
    <w:rsid w:val="3EF31AA3"/>
    <w:rsid w:val="3EF92840"/>
    <w:rsid w:val="3F3C6D78"/>
    <w:rsid w:val="3F80494A"/>
    <w:rsid w:val="3FCD6E2D"/>
    <w:rsid w:val="3FD6748F"/>
    <w:rsid w:val="3FD96C7C"/>
    <w:rsid w:val="400E3E27"/>
    <w:rsid w:val="40643F39"/>
    <w:rsid w:val="40B3029B"/>
    <w:rsid w:val="40D91DD1"/>
    <w:rsid w:val="41B9368E"/>
    <w:rsid w:val="41E77AD8"/>
    <w:rsid w:val="41FF1E31"/>
    <w:rsid w:val="423500FC"/>
    <w:rsid w:val="427B563D"/>
    <w:rsid w:val="428F03C0"/>
    <w:rsid w:val="42D9665C"/>
    <w:rsid w:val="4385745E"/>
    <w:rsid w:val="44B618EE"/>
    <w:rsid w:val="44E203D6"/>
    <w:rsid w:val="451C1CC8"/>
    <w:rsid w:val="455132D9"/>
    <w:rsid w:val="45C16775"/>
    <w:rsid w:val="45FC590E"/>
    <w:rsid w:val="46C45ACC"/>
    <w:rsid w:val="46E12B13"/>
    <w:rsid w:val="46F81582"/>
    <w:rsid w:val="475D2028"/>
    <w:rsid w:val="4A122610"/>
    <w:rsid w:val="4A205DE3"/>
    <w:rsid w:val="4B0645E8"/>
    <w:rsid w:val="4B812E14"/>
    <w:rsid w:val="4CD70D8A"/>
    <w:rsid w:val="4CFB091D"/>
    <w:rsid w:val="4D0E5C73"/>
    <w:rsid w:val="4D7F12A9"/>
    <w:rsid w:val="4DA6596D"/>
    <w:rsid w:val="4DCE495C"/>
    <w:rsid w:val="4DD07319"/>
    <w:rsid w:val="4DF4151A"/>
    <w:rsid w:val="4E626AA3"/>
    <w:rsid w:val="4E785F57"/>
    <w:rsid w:val="4E9A77CF"/>
    <w:rsid w:val="4F030FDB"/>
    <w:rsid w:val="51CB2117"/>
    <w:rsid w:val="526D4930"/>
    <w:rsid w:val="52CB7ED2"/>
    <w:rsid w:val="52FD032E"/>
    <w:rsid w:val="54FD2543"/>
    <w:rsid w:val="55666CE6"/>
    <w:rsid w:val="559F5ED6"/>
    <w:rsid w:val="55BB121C"/>
    <w:rsid w:val="55DD3B23"/>
    <w:rsid w:val="561F6F63"/>
    <w:rsid w:val="563E0CED"/>
    <w:rsid w:val="57075BEC"/>
    <w:rsid w:val="5816087C"/>
    <w:rsid w:val="589507D0"/>
    <w:rsid w:val="59115EDD"/>
    <w:rsid w:val="59AA79A1"/>
    <w:rsid w:val="5A8F4840"/>
    <w:rsid w:val="5A937113"/>
    <w:rsid w:val="5A9705DE"/>
    <w:rsid w:val="5BB06037"/>
    <w:rsid w:val="5C3F52F5"/>
    <w:rsid w:val="5D7F2339"/>
    <w:rsid w:val="5D8F45F0"/>
    <w:rsid w:val="5E7B4831"/>
    <w:rsid w:val="5EA41E22"/>
    <w:rsid w:val="5EC21067"/>
    <w:rsid w:val="5F7C5DDF"/>
    <w:rsid w:val="60813020"/>
    <w:rsid w:val="61945930"/>
    <w:rsid w:val="61D84CF5"/>
    <w:rsid w:val="61FC108F"/>
    <w:rsid w:val="62140419"/>
    <w:rsid w:val="63096597"/>
    <w:rsid w:val="63360660"/>
    <w:rsid w:val="63C55142"/>
    <w:rsid w:val="643E27B3"/>
    <w:rsid w:val="64915A72"/>
    <w:rsid w:val="66DD3303"/>
    <w:rsid w:val="670478B1"/>
    <w:rsid w:val="670A2715"/>
    <w:rsid w:val="67D63860"/>
    <w:rsid w:val="67DE423A"/>
    <w:rsid w:val="680C5130"/>
    <w:rsid w:val="68B76448"/>
    <w:rsid w:val="68B9380C"/>
    <w:rsid w:val="69A13CEB"/>
    <w:rsid w:val="6A3B0A24"/>
    <w:rsid w:val="6A511F23"/>
    <w:rsid w:val="6ADD1A95"/>
    <w:rsid w:val="6AFF6E91"/>
    <w:rsid w:val="6B5B71BD"/>
    <w:rsid w:val="6B8F40D0"/>
    <w:rsid w:val="6C08542C"/>
    <w:rsid w:val="6C385098"/>
    <w:rsid w:val="6C6E1CC5"/>
    <w:rsid w:val="6D515F22"/>
    <w:rsid w:val="6D535020"/>
    <w:rsid w:val="6D8277FC"/>
    <w:rsid w:val="6E3D634F"/>
    <w:rsid w:val="6EB97D21"/>
    <w:rsid w:val="6FEF3713"/>
    <w:rsid w:val="70BE0DA7"/>
    <w:rsid w:val="70D807E6"/>
    <w:rsid w:val="712424A5"/>
    <w:rsid w:val="714040F4"/>
    <w:rsid w:val="717B55F6"/>
    <w:rsid w:val="71F47E1C"/>
    <w:rsid w:val="7273139D"/>
    <w:rsid w:val="72A25EB2"/>
    <w:rsid w:val="72F04EC1"/>
    <w:rsid w:val="737849A8"/>
    <w:rsid w:val="7395624F"/>
    <w:rsid w:val="739D38FB"/>
    <w:rsid w:val="74FF5A19"/>
    <w:rsid w:val="76235B95"/>
    <w:rsid w:val="76926F96"/>
    <w:rsid w:val="76E400DD"/>
    <w:rsid w:val="7791219D"/>
    <w:rsid w:val="77DA14F1"/>
    <w:rsid w:val="78026F35"/>
    <w:rsid w:val="79762D0D"/>
    <w:rsid w:val="79C616BF"/>
    <w:rsid w:val="7BA91883"/>
    <w:rsid w:val="7BDF086E"/>
    <w:rsid w:val="7C646CE0"/>
    <w:rsid w:val="7CBD3329"/>
    <w:rsid w:val="7D592118"/>
    <w:rsid w:val="7D8B1990"/>
    <w:rsid w:val="7DB8088E"/>
    <w:rsid w:val="7E482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rPr>
  </w:style>
  <w:style w:type="paragraph" w:styleId="3">
    <w:name w:val="footer"/>
    <w:basedOn w:val="1"/>
    <w:link w:val="13"/>
    <w:qFormat/>
    <w:uiPriority w:val="0"/>
    <w:pPr>
      <w:tabs>
        <w:tab w:val="center" w:pos="4153"/>
        <w:tab w:val="right" w:pos="8306"/>
      </w:tabs>
      <w:snapToGrid w:val="0"/>
      <w:jc w:val="left"/>
    </w:pPr>
    <w:rPr>
      <w:sz w:val="18"/>
    </w:rPr>
  </w:style>
  <w:style w:type="paragraph" w:styleId="4">
    <w:name w:val="header"/>
    <w:basedOn w:val="1"/>
    <w:link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页眉 Char"/>
    <w:basedOn w:val="6"/>
    <w:link w:val="4"/>
    <w:qFormat/>
    <w:uiPriority w:val="0"/>
    <w:rPr>
      <w:rFonts w:hint="default" w:ascii="Times New Roman" w:hAnsi="Times New Roman" w:eastAsia="宋体" w:cs="Times New Roman"/>
      <w:sz w:val="18"/>
      <w:szCs w:val="18"/>
    </w:rPr>
  </w:style>
  <w:style w:type="character" w:customStyle="1" w:styleId="8">
    <w:name w:val="页眉 Char1"/>
    <w:basedOn w:val="6"/>
    <w:qFormat/>
    <w:uiPriority w:val="0"/>
    <w:rPr>
      <w:rFonts w:hint="default" w:ascii="Times New Roman" w:hAnsi="Times New Roman" w:eastAsia="宋体" w:cs="Times New Roman"/>
      <w:sz w:val="18"/>
      <w:szCs w:val="18"/>
    </w:rPr>
  </w:style>
  <w:style w:type="character" w:customStyle="1" w:styleId="9">
    <w:name w:val="页脚 Char1"/>
    <w:basedOn w:val="6"/>
    <w:qFormat/>
    <w:uiPriority w:val="0"/>
    <w:rPr>
      <w:rFonts w:hint="default" w:ascii="Times New Roman" w:hAnsi="Times New Roman" w:eastAsia="宋体" w:cs="Times New Roman"/>
      <w:sz w:val="18"/>
      <w:szCs w:val="18"/>
    </w:rPr>
  </w:style>
  <w:style w:type="character" w:customStyle="1" w:styleId="10">
    <w:name w:val="批注框文本 Char"/>
    <w:basedOn w:val="6"/>
    <w:link w:val="2"/>
    <w:qFormat/>
    <w:uiPriority w:val="0"/>
    <w:rPr>
      <w:rFonts w:hint="default" w:ascii="Times New Roman" w:hAnsi="Times New Roman" w:eastAsia="宋体" w:cs="Times New Roman"/>
      <w:sz w:val="18"/>
      <w:szCs w:val="18"/>
    </w:rPr>
  </w:style>
  <w:style w:type="paragraph" w:customStyle="1" w:styleId="11">
    <w:name w:val="msonospacing"/>
    <w:basedOn w:val="1"/>
    <w:qFormat/>
    <w:uiPriority w:val="0"/>
    <w:rPr>
      <w:rFonts w:ascii="Calibri" w:hAnsi="Calibri" w:eastAsia="宋体" w:cs="Times New Roman"/>
      <w:szCs w:val="22"/>
    </w:rPr>
  </w:style>
  <w:style w:type="character" w:customStyle="1" w:styleId="12">
    <w:name w:val="批注框文本 Char1"/>
    <w:basedOn w:val="6"/>
    <w:qFormat/>
    <w:uiPriority w:val="0"/>
    <w:rPr>
      <w:rFonts w:hint="default" w:ascii="Times New Roman" w:hAnsi="Times New Roman" w:eastAsia="宋体" w:cs="Times New Roman"/>
      <w:sz w:val="18"/>
      <w:szCs w:val="18"/>
    </w:rPr>
  </w:style>
  <w:style w:type="character" w:customStyle="1" w:styleId="13">
    <w:name w:val="页脚 Char"/>
    <w:basedOn w:val="6"/>
    <w:link w:val="3"/>
    <w:qFormat/>
    <w:uiPriority w:val="0"/>
    <w:rPr>
      <w:rFonts w:hint="default"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4</Pages>
  <Words>201</Words>
  <Characters>1151</Characters>
  <Lines>9</Lines>
  <Paragraphs>2</Paragraphs>
  <TotalTime>10</TotalTime>
  <ScaleCrop>false</ScaleCrop>
  <LinksUpToDate>false</LinksUpToDate>
  <CharactersWithSpaces>1350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2019-02-15T02:21:00Z</dcterms:created>
  <dc:creator>不叫逝若尘</dc:creator>
  <cp:lastModifiedBy>王册</cp:lastModifiedBy>
  <cp:lastPrinted>2020-08-21T01:32:43Z</cp:lastPrinted>
  <dcterms:modified xsi:type="dcterms:W3CDTF">2020-08-21T08:10:57Z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